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07598" w14:textId="77777777" w:rsidR="00027DD6" w:rsidRPr="00027DD6" w:rsidRDefault="00407B09">
      <w:pPr>
        <w:rPr>
          <w:lang w:val="fr-CA"/>
        </w:rPr>
      </w:pPr>
      <w:r w:rsidRPr="00027DD6">
        <w:rPr>
          <w:lang w:val="fr-CA"/>
        </w:rPr>
        <w:t xml:space="preserve">QC </w:t>
      </w:r>
      <w:r w:rsidR="00027DD6" w:rsidRPr="00027DD6">
        <w:rPr>
          <w:lang w:val="fr-CA"/>
        </w:rPr>
        <w:t>Commission sur les soins de fin de vie</w:t>
      </w:r>
    </w:p>
    <w:p w14:paraId="4ED4D5B3" w14:textId="2B41AF6B" w:rsidR="00EA37BE" w:rsidRPr="00027DD6" w:rsidRDefault="00407B09">
      <w:pPr>
        <w:rPr>
          <w:lang w:val="fr-CA"/>
        </w:rPr>
      </w:pPr>
      <w:r w:rsidRPr="00027DD6">
        <w:rPr>
          <w:lang w:val="fr-CA"/>
        </w:rPr>
        <w:t>R</w:t>
      </w:r>
      <w:r w:rsidR="00027DD6" w:rsidRPr="00027DD6">
        <w:rPr>
          <w:lang w:val="fr-CA"/>
        </w:rPr>
        <w:t>ap</w:t>
      </w:r>
      <w:r w:rsidRPr="00027DD6">
        <w:rPr>
          <w:lang w:val="fr-CA"/>
        </w:rPr>
        <w:t>port #3</w:t>
      </w:r>
      <w:r w:rsidR="00027DD6" w:rsidRPr="00027DD6">
        <w:rPr>
          <w:lang w:val="fr-CA"/>
        </w:rPr>
        <w:t>, décembre, 2018</w:t>
      </w:r>
    </w:p>
    <w:p w14:paraId="0EC7066B" w14:textId="77777777" w:rsidR="00CC3AC7" w:rsidRPr="00027DD6" w:rsidRDefault="00CC3AC7">
      <w:pPr>
        <w:rPr>
          <w:lang w:val="fr-CA"/>
        </w:rPr>
      </w:pPr>
    </w:p>
    <w:p w14:paraId="3F1827FE" w14:textId="13AD3B4A" w:rsidR="00CC3AC7" w:rsidRPr="00027DD6" w:rsidRDefault="00027DD6">
      <w:pPr>
        <w:rPr>
          <w:b/>
          <w:color w:val="7030A0"/>
          <w:lang w:val="fr-CA"/>
        </w:rPr>
      </w:pPr>
      <w:r>
        <w:rPr>
          <w:b/>
          <w:color w:val="7030A0"/>
          <w:lang w:val="fr-CA"/>
        </w:rPr>
        <w:t>Périod</w:t>
      </w:r>
      <w:r w:rsidR="0091108B">
        <w:rPr>
          <w:b/>
          <w:color w:val="7030A0"/>
          <w:lang w:val="fr-CA"/>
        </w:rPr>
        <w:t>e</w:t>
      </w:r>
      <w:r>
        <w:rPr>
          <w:b/>
          <w:color w:val="7030A0"/>
          <w:lang w:val="fr-CA"/>
        </w:rPr>
        <w:t xml:space="preserve"> de déclaration</w:t>
      </w:r>
    </w:p>
    <w:p w14:paraId="43362744" w14:textId="7913B35D" w:rsidR="00407B09" w:rsidRPr="00027DD6" w:rsidRDefault="00A078FD">
      <w:pPr>
        <w:rPr>
          <w:color w:val="7030A0"/>
          <w:lang w:val="fr-CA"/>
        </w:rPr>
      </w:pPr>
      <w:r>
        <w:rPr>
          <w:color w:val="7030A0"/>
          <w:lang w:val="fr-CA"/>
        </w:rPr>
        <w:t xml:space="preserve">1 juillet </w:t>
      </w:r>
      <w:r w:rsidR="00407B09" w:rsidRPr="00027DD6">
        <w:rPr>
          <w:color w:val="7030A0"/>
          <w:lang w:val="fr-CA"/>
        </w:rPr>
        <w:t>2017-</w:t>
      </w:r>
      <w:r>
        <w:rPr>
          <w:color w:val="7030A0"/>
          <w:lang w:val="fr-CA"/>
        </w:rPr>
        <w:t xml:space="preserve"> 31 mars</w:t>
      </w:r>
      <w:r w:rsidR="00407B09" w:rsidRPr="00027DD6">
        <w:rPr>
          <w:color w:val="7030A0"/>
          <w:lang w:val="fr-CA"/>
        </w:rPr>
        <w:t xml:space="preserve"> 2018</w:t>
      </w:r>
    </w:p>
    <w:p w14:paraId="6D004899" w14:textId="3EEE1124" w:rsidR="00407B09" w:rsidRPr="00027DD6" w:rsidRDefault="00407B09">
      <w:pPr>
        <w:rPr>
          <w:lang w:val="fr-CA"/>
        </w:rPr>
      </w:pPr>
    </w:p>
    <w:p w14:paraId="4E1459C9" w14:textId="32721E40" w:rsidR="00407B09" w:rsidRPr="00027DD6" w:rsidRDefault="00027DD6">
      <w:pPr>
        <w:rPr>
          <w:lang w:val="fr-CA"/>
        </w:rPr>
      </w:pPr>
      <w:r w:rsidRPr="00027DD6">
        <w:rPr>
          <w:lang w:val="fr-CA"/>
        </w:rPr>
        <w:t>La période de déclaration est modifiée pour coïncider avec l’exercice financier du Québec. Les prochains rapports seront du 1er avril au 31 mars.</w:t>
      </w:r>
    </w:p>
    <w:p w14:paraId="2103C649" w14:textId="1DAC09B9" w:rsidR="00407B09" w:rsidRPr="00027DD6" w:rsidRDefault="00407B09">
      <w:pPr>
        <w:rPr>
          <w:lang w:val="fr-CA"/>
        </w:rPr>
      </w:pPr>
    </w:p>
    <w:p w14:paraId="593EC962" w14:textId="6434C8F7" w:rsidR="00FB05A7" w:rsidRPr="00027DD6" w:rsidRDefault="00027DD6">
      <w:pPr>
        <w:rPr>
          <w:lang w:val="fr-CA"/>
        </w:rPr>
      </w:pPr>
      <w:r>
        <w:rPr>
          <w:lang w:val="fr-CA"/>
        </w:rPr>
        <w:t>FORMULAIRES DE DÉCLARATION D’EUTHANASIE PROVENANT DES MÉDECINS</w:t>
      </w:r>
    </w:p>
    <w:p w14:paraId="704D3DE4" w14:textId="77777777" w:rsidR="00FB05A7" w:rsidRPr="00027DD6" w:rsidRDefault="00FB05A7">
      <w:pPr>
        <w:rPr>
          <w:lang w:val="fr-CA"/>
        </w:rPr>
      </w:pPr>
    </w:p>
    <w:p w14:paraId="6BFDCA2F" w14:textId="22E50A1C" w:rsidR="00407B09" w:rsidRPr="00027DD6" w:rsidRDefault="00407B09">
      <w:pPr>
        <w:rPr>
          <w:lang w:val="fr-CA"/>
        </w:rPr>
      </w:pPr>
      <w:r w:rsidRPr="00027DD6">
        <w:rPr>
          <w:color w:val="FF0000"/>
          <w:lang w:val="fr-CA"/>
        </w:rPr>
        <w:t xml:space="preserve">708 </w:t>
      </w:r>
      <w:r w:rsidR="00027DD6">
        <w:rPr>
          <w:color w:val="FF0000"/>
          <w:lang w:val="fr-CA"/>
        </w:rPr>
        <w:t>formulaires</w:t>
      </w:r>
      <w:r w:rsidRPr="00027DD6">
        <w:rPr>
          <w:lang w:val="fr-CA"/>
        </w:rPr>
        <w:t xml:space="preserve"> </w:t>
      </w:r>
      <w:r w:rsidR="00027DD6">
        <w:rPr>
          <w:i/>
          <w:color w:val="0070C0"/>
          <w:lang w:val="fr-CA"/>
        </w:rPr>
        <w:t xml:space="preserve">reçu </w:t>
      </w:r>
      <w:r w:rsidR="00562C6A" w:rsidRPr="00027DD6">
        <w:rPr>
          <w:lang w:val="fr-CA"/>
        </w:rPr>
        <w:t>1/7</w:t>
      </w:r>
      <w:r w:rsidRPr="00027DD6">
        <w:rPr>
          <w:lang w:val="fr-CA"/>
        </w:rPr>
        <w:t xml:space="preserve">/17 </w:t>
      </w:r>
      <w:r w:rsidR="00027DD6">
        <w:rPr>
          <w:lang w:val="fr-CA"/>
        </w:rPr>
        <w:t>à</w:t>
      </w:r>
      <w:r w:rsidR="00CC3AC7" w:rsidRPr="00027DD6">
        <w:rPr>
          <w:lang w:val="fr-CA"/>
        </w:rPr>
        <w:t xml:space="preserve"> </w:t>
      </w:r>
      <w:r w:rsidRPr="00027DD6">
        <w:rPr>
          <w:lang w:val="fr-CA"/>
        </w:rPr>
        <w:t>3</w:t>
      </w:r>
      <w:r w:rsidR="00562C6A" w:rsidRPr="00027DD6">
        <w:rPr>
          <w:lang w:val="fr-CA"/>
        </w:rPr>
        <w:t>1</w:t>
      </w:r>
      <w:r w:rsidRPr="00027DD6">
        <w:rPr>
          <w:lang w:val="fr-CA"/>
        </w:rPr>
        <w:t>/3/18</w:t>
      </w:r>
    </w:p>
    <w:p w14:paraId="327562C0" w14:textId="152A0834" w:rsidR="00407B09" w:rsidRPr="008225A7" w:rsidRDefault="00027DD6" w:rsidP="00407B09">
      <w:pPr>
        <w:pStyle w:val="ListParagraph"/>
        <w:numPr>
          <w:ilvl w:val="0"/>
          <w:numId w:val="2"/>
        </w:numPr>
        <w:rPr>
          <w:lang w:val="fr-CA"/>
        </w:rPr>
      </w:pPr>
      <w:r w:rsidRPr="008225A7">
        <w:rPr>
          <w:lang w:val="fr-CA"/>
        </w:rPr>
        <w:t xml:space="preserve">Ceci inclus </w:t>
      </w:r>
      <w:r w:rsidR="00F7710D" w:rsidRPr="008225A7">
        <w:rPr>
          <w:lang w:val="fr-CA"/>
        </w:rPr>
        <w:t xml:space="preserve">42 </w:t>
      </w:r>
      <w:r w:rsidRPr="008225A7">
        <w:rPr>
          <w:lang w:val="fr-CA"/>
        </w:rPr>
        <w:t>formulaires reçus</w:t>
      </w:r>
      <w:r w:rsidR="00F7710D" w:rsidRPr="008225A7">
        <w:rPr>
          <w:lang w:val="fr-CA"/>
        </w:rPr>
        <w:t xml:space="preserve"> 30+ </w:t>
      </w:r>
      <w:r w:rsidRPr="008225A7">
        <w:rPr>
          <w:lang w:val="fr-CA"/>
        </w:rPr>
        <w:t>jours après l’euthanasie</w:t>
      </w:r>
    </w:p>
    <w:p w14:paraId="18AEE4A2" w14:textId="7645B304" w:rsidR="00F7710D" w:rsidRPr="00027DD6" w:rsidRDefault="00027DD6" w:rsidP="00F7710D">
      <w:pPr>
        <w:pStyle w:val="ListParagraph"/>
        <w:numPr>
          <w:ilvl w:val="1"/>
          <w:numId w:val="2"/>
        </w:numPr>
        <w:rPr>
          <w:lang w:val="fr-CA"/>
        </w:rPr>
      </w:pPr>
      <w:r w:rsidRPr="00027DD6">
        <w:rPr>
          <w:lang w:val="fr-CA"/>
        </w:rPr>
        <w:t xml:space="preserve">Dont </w:t>
      </w:r>
      <w:r w:rsidR="00F7710D" w:rsidRPr="00027DD6">
        <w:rPr>
          <w:lang w:val="fr-CA"/>
        </w:rPr>
        <w:t xml:space="preserve">5 </w:t>
      </w:r>
      <w:r w:rsidRPr="00027DD6">
        <w:rPr>
          <w:lang w:val="fr-CA"/>
        </w:rPr>
        <w:t>étaient d’</w:t>
      </w:r>
      <w:r w:rsidR="0089082E" w:rsidRPr="00027DD6">
        <w:rPr>
          <w:lang w:val="fr-CA"/>
        </w:rPr>
        <w:t>euthanasi</w:t>
      </w:r>
      <w:r w:rsidRPr="00027DD6">
        <w:rPr>
          <w:lang w:val="fr-CA"/>
        </w:rPr>
        <w:t>es pratiqués</w:t>
      </w:r>
      <w:r w:rsidR="0089082E" w:rsidRPr="00027DD6">
        <w:rPr>
          <w:lang w:val="fr-CA"/>
        </w:rPr>
        <w:t xml:space="preserve"> </w:t>
      </w:r>
      <w:r>
        <w:rPr>
          <w:lang w:val="fr-CA"/>
        </w:rPr>
        <w:t>e</w:t>
      </w:r>
      <w:r w:rsidR="00F7710D" w:rsidRPr="00027DD6">
        <w:rPr>
          <w:lang w:val="fr-CA"/>
        </w:rPr>
        <w:t>n 2016</w:t>
      </w:r>
    </w:p>
    <w:p w14:paraId="719F9AF1" w14:textId="595C8A85" w:rsidR="00F7710D" w:rsidRPr="00027DD6" w:rsidRDefault="00F7710D" w:rsidP="00F7710D">
      <w:pPr>
        <w:rPr>
          <w:lang w:val="fr-CA"/>
        </w:rPr>
      </w:pPr>
    </w:p>
    <w:p w14:paraId="4E3AEBE1" w14:textId="33BF734F" w:rsidR="00F7710D" w:rsidRPr="00027DD6" w:rsidRDefault="00F7710D" w:rsidP="00F7710D">
      <w:pPr>
        <w:rPr>
          <w:lang w:val="fr-CA"/>
        </w:rPr>
      </w:pPr>
      <w:r w:rsidRPr="00027DD6">
        <w:rPr>
          <w:lang w:val="fr-CA"/>
        </w:rPr>
        <w:t xml:space="preserve">782 </w:t>
      </w:r>
      <w:r w:rsidR="00027DD6">
        <w:rPr>
          <w:lang w:val="fr-CA"/>
        </w:rPr>
        <w:t>formulaires</w:t>
      </w:r>
      <w:r w:rsidR="008225A7">
        <w:rPr>
          <w:lang w:val="fr-CA"/>
        </w:rPr>
        <w:t xml:space="preserve"> étaient</w:t>
      </w:r>
      <w:r w:rsidRPr="00027DD6">
        <w:rPr>
          <w:lang w:val="fr-CA"/>
        </w:rPr>
        <w:t xml:space="preserve"> </w:t>
      </w:r>
      <w:proofErr w:type="gramStart"/>
      <w:r w:rsidRPr="00027DD6">
        <w:rPr>
          <w:i/>
          <w:color w:val="0070C0"/>
          <w:lang w:val="fr-CA"/>
        </w:rPr>
        <w:t>examin</w:t>
      </w:r>
      <w:r w:rsidR="008225A7">
        <w:rPr>
          <w:i/>
          <w:color w:val="0070C0"/>
          <w:lang w:val="fr-CA"/>
        </w:rPr>
        <w:t>é</w:t>
      </w:r>
      <w:proofErr w:type="gramEnd"/>
      <w:r w:rsidRPr="00027DD6">
        <w:rPr>
          <w:color w:val="0070C0"/>
          <w:lang w:val="fr-CA"/>
        </w:rPr>
        <w:t xml:space="preserve"> </w:t>
      </w:r>
      <w:r w:rsidR="008225A7">
        <w:rPr>
          <w:lang w:val="fr-CA"/>
        </w:rPr>
        <w:t xml:space="preserve">de </w:t>
      </w:r>
      <w:r w:rsidR="00562C6A" w:rsidRPr="00027DD6">
        <w:rPr>
          <w:lang w:val="fr-CA"/>
        </w:rPr>
        <w:t>1</w:t>
      </w:r>
      <w:r w:rsidRPr="00027DD6">
        <w:rPr>
          <w:lang w:val="fr-CA"/>
        </w:rPr>
        <w:t>/</w:t>
      </w:r>
      <w:r w:rsidR="00562C6A" w:rsidRPr="00027DD6">
        <w:rPr>
          <w:lang w:val="fr-CA"/>
        </w:rPr>
        <w:t>7</w:t>
      </w:r>
      <w:r w:rsidRPr="00027DD6">
        <w:rPr>
          <w:lang w:val="fr-CA"/>
        </w:rPr>
        <w:t xml:space="preserve">/17 </w:t>
      </w:r>
      <w:r w:rsidR="008225A7">
        <w:rPr>
          <w:lang w:val="fr-CA"/>
        </w:rPr>
        <w:t>à</w:t>
      </w:r>
      <w:r w:rsidR="002D39A5" w:rsidRPr="00027DD6">
        <w:rPr>
          <w:lang w:val="fr-CA"/>
        </w:rPr>
        <w:t xml:space="preserve"> </w:t>
      </w:r>
      <w:r w:rsidRPr="00027DD6">
        <w:rPr>
          <w:lang w:val="fr-CA"/>
        </w:rPr>
        <w:t>3</w:t>
      </w:r>
      <w:r w:rsidR="00562C6A" w:rsidRPr="00027DD6">
        <w:rPr>
          <w:lang w:val="fr-CA"/>
        </w:rPr>
        <w:t>1</w:t>
      </w:r>
      <w:r w:rsidRPr="00027DD6">
        <w:rPr>
          <w:lang w:val="fr-CA"/>
        </w:rPr>
        <w:t>/3/18</w:t>
      </w:r>
    </w:p>
    <w:p w14:paraId="2118DF9B" w14:textId="7975EF75" w:rsidR="00F7710D" w:rsidRPr="008225A7" w:rsidRDefault="00F7710D" w:rsidP="00F7710D">
      <w:pPr>
        <w:pStyle w:val="ListParagraph"/>
        <w:numPr>
          <w:ilvl w:val="0"/>
          <w:numId w:val="2"/>
        </w:numPr>
        <w:rPr>
          <w:lang w:val="fr-CA"/>
        </w:rPr>
      </w:pPr>
      <w:r w:rsidRPr="008225A7">
        <w:rPr>
          <w:lang w:val="fr-CA"/>
        </w:rPr>
        <w:t xml:space="preserve">741 </w:t>
      </w:r>
      <w:r w:rsidR="00EF2D35">
        <w:rPr>
          <w:lang w:val="fr-CA"/>
        </w:rPr>
        <w:t xml:space="preserve">étaient </w:t>
      </w:r>
      <w:r w:rsidR="008225A7" w:rsidRPr="008225A7">
        <w:rPr>
          <w:lang w:val="fr-CA"/>
        </w:rPr>
        <w:t xml:space="preserve">examiné pour </w:t>
      </w:r>
      <w:r w:rsidR="008225A7" w:rsidRPr="008225A7">
        <w:rPr>
          <w:i/>
          <w:lang w:val="fr-CA"/>
        </w:rPr>
        <w:t>la première fois</w:t>
      </w:r>
    </w:p>
    <w:p w14:paraId="49D2C864" w14:textId="428FE940" w:rsidR="00F7710D" w:rsidRPr="008225A7" w:rsidRDefault="00F7710D" w:rsidP="00F7710D">
      <w:pPr>
        <w:pStyle w:val="ListParagraph"/>
        <w:numPr>
          <w:ilvl w:val="1"/>
          <w:numId w:val="2"/>
        </w:numPr>
        <w:rPr>
          <w:lang w:val="fr-CA"/>
        </w:rPr>
      </w:pPr>
      <w:r w:rsidRPr="008225A7">
        <w:rPr>
          <w:lang w:val="fr-CA"/>
        </w:rPr>
        <w:t xml:space="preserve">658 </w:t>
      </w:r>
      <w:r w:rsidR="008225A7" w:rsidRPr="008225A7">
        <w:rPr>
          <w:lang w:val="fr-CA"/>
        </w:rPr>
        <w:t xml:space="preserve">étaient reçu </w:t>
      </w:r>
      <w:r w:rsidR="008225A7" w:rsidRPr="008225A7">
        <w:rPr>
          <w:i/>
          <w:color w:val="C00000"/>
          <w:lang w:val="fr-CA"/>
        </w:rPr>
        <w:t xml:space="preserve">pendant </w:t>
      </w:r>
      <w:r w:rsidR="008225A7" w:rsidRPr="008225A7">
        <w:rPr>
          <w:lang w:val="fr-CA"/>
        </w:rPr>
        <w:t>le p</w:t>
      </w:r>
      <w:r w:rsidR="008225A7">
        <w:rPr>
          <w:lang w:val="fr-CA"/>
        </w:rPr>
        <w:t>ériode de déclaration</w:t>
      </w:r>
    </w:p>
    <w:p w14:paraId="0FF138FC" w14:textId="1F11BF54" w:rsidR="00F7710D" w:rsidRPr="008225A7" w:rsidRDefault="00F7710D" w:rsidP="00F7710D">
      <w:pPr>
        <w:pStyle w:val="ListParagraph"/>
        <w:numPr>
          <w:ilvl w:val="1"/>
          <w:numId w:val="2"/>
        </w:numPr>
        <w:rPr>
          <w:lang w:val="fr-CA"/>
        </w:rPr>
      </w:pPr>
      <w:r w:rsidRPr="008225A7">
        <w:rPr>
          <w:lang w:val="fr-CA"/>
        </w:rPr>
        <w:t xml:space="preserve">83 </w:t>
      </w:r>
      <w:r w:rsidR="008225A7" w:rsidRPr="008225A7">
        <w:rPr>
          <w:lang w:val="fr-CA"/>
        </w:rPr>
        <w:t>étaient reçu</w:t>
      </w:r>
      <w:r w:rsidRPr="008225A7">
        <w:rPr>
          <w:lang w:val="fr-CA"/>
        </w:rPr>
        <w:t xml:space="preserve"> </w:t>
      </w:r>
      <w:r w:rsidR="008225A7" w:rsidRPr="008225A7">
        <w:rPr>
          <w:i/>
          <w:color w:val="C00000"/>
          <w:lang w:val="fr-CA"/>
        </w:rPr>
        <w:t>avant</w:t>
      </w:r>
      <w:r w:rsidRPr="008225A7">
        <w:rPr>
          <w:color w:val="C00000"/>
          <w:lang w:val="fr-CA"/>
        </w:rPr>
        <w:t xml:space="preserve"> </w:t>
      </w:r>
      <w:r w:rsidR="008225A7" w:rsidRPr="008225A7">
        <w:rPr>
          <w:lang w:val="fr-CA"/>
        </w:rPr>
        <w:t>le p</w:t>
      </w:r>
      <w:r w:rsidR="008225A7">
        <w:rPr>
          <w:lang w:val="fr-CA"/>
        </w:rPr>
        <w:t>ériode de déclaration</w:t>
      </w:r>
      <w:r w:rsidRPr="008225A7">
        <w:rPr>
          <w:lang w:val="fr-CA"/>
        </w:rPr>
        <w:t xml:space="preserve"> </w:t>
      </w:r>
      <w:r w:rsidR="008225A7">
        <w:rPr>
          <w:lang w:val="fr-CA"/>
        </w:rPr>
        <w:t xml:space="preserve">mais ils n’ont pas encore </w:t>
      </w:r>
      <w:proofErr w:type="gramStart"/>
      <w:r w:rsidR="008225A7">
        <w:rPr>
          <w:lang w:val="fr-CA"/>
        </w:rPr>
        <w:t>étaient</w:t>
      </w:r>
      <w:proofErr w:type="gramEnd"/>
      <w:r w:rsidR="008225A7">
        <w:rPr>
          <w:lang w:val="fr-CA"/>
        </w:rPr>
        <w:t xml:space="preserve"> examinés</w:t>
      </w:r>
      <w:r w:rsidRPr="008225A7">
        <w:rPr>
          <w:lang w:val="fr-CA"/>
        </w:rPr>
        <w:t>.</w:t>
      </w:r>
    </w:p>
    <w:p w14:paraId="2F5422CC" w14:textId="0205753D" w:rsidR="00F7710D" w:rsidRPr="00EF2D35" w:rsidRDefault="00F7710D" w:rsidP="00F7710D">
      <w:pPr>
        <w:pStyle w:val="ListParagraph"/>
        <w:numPr>
          <w:ilvl w:val="0"/>
          <w:numId w:val="2"/>
        </w:numPr>
        <w:rPr>
          <w:lang w:val="fr-CA"/>
        </w:rPr>
      </w:pPr>
      <w:r w:rsidRPr="00EF2D35">
        <w:rPr>
          <w:lang w:val="fr-CA"/>
        </w:rPr>
        <w:t xml:space="preserve">41 </w:t>
      </w:r>
      <w:r w:rsidR="00027DD6" w:rsidRPr="00EF2D35">
        <w:rPr>
          <w:lang w:val="fr-CA"/>
        </w:rPr>
        <w:t>formulaires</w:t>
      </w:r>
      <w:r w:rsidRPr="00EF2D35">
        <w:rPr>
          <w:lang w:val="fr-CA"/>
        </w:rPr>
        <w:t xml:space="preserve"> </w:t>
      </w:r>
      <w:r w:rsidR="00EF2D35">
        <w:rPr>
          <w:lang w:val="fr-CA"/>
        </w:rPr>
        <w:t xml:space="preserve">ont été </w:t>
      </w:r>
      <w:r w:rsidR="00EF2D35" w:rsidRPr="00EF2D35">
        <w:rPr>
          <w:lang w:val="fr-CA"/>
        </w:rPr>
        <w:t xml:space="preserve">réexaminée </w:t>
      </w:r>
      <w:r w:rsidR="00EF2D35" w:rsidRPr="008225A7">
        <w:rPr>
          <w:lang w:val="fr-CA"/>
        </w:rPr>
        <w:t>à r</w:t>
      </w:r>
      <w:r w:rsidR="00EF2D35">
        <w:rPr>
          <w:lang w:val="fr-CA"/>
        </w:rPr>
        <w:t>é</w:t>
      </w:r>
      <w:r w:rsidR="00EF2D35" w:rsidRPr="008225A7">
        <w:rPr>
          <w:lang w:val="fr-CA"/>
        </w:rPr>
        <w:t>ception de plus d’informations</w:t>
      </w:r>
    </w:p>
    <w:p w14:paraId="797062DA" w14:textId="0BE0C484" w:rsidR="00407B09" w:rsidRPr="00EF2D35" w:rsidRDefault="00407B09">
      <w:pPr>
        <w:rPr>
          <w:lang w:val="fr-CA"/>
        </w:rPr>
      </w:pPr>
    </w:p>
    <w:p w14:paraId="48DFB892" w14:textId="3E4A5C18" w:rsidR="00562C6A" w:rsidRPr="008225A7" w:rsidRDefault="00562C6A">
      <w:pPr>
        <w:rPr>
          <w:lang w:val="fr-CA"/>
        </w:rPr>
      </w:pPr>
      <w:r w:rsidRPr="008225A7">
        <w:rPr>
          <w:lang w:val="fr-CA"/>
        </w:rPr>
        <w:t xml:space="preserve">741 </w:t>
      </w:r>
      <w:r w:rsidR="00027DD6" w:rsidRPr="008225A7">
        <w:rPr>
          <w:lang w:val="fr-CA"/>
        </w:rPr>
        <w:t>formulaires</w:t>
      </w:r>
      <w:r w:rsidRPr="008225A7">
        <w:rPr>
          <w:lang w:val="fr-CA"/>
        </w:rPr>
        <w:t xml:space="preserve"> </w:t>
      </w:r>
      <w:r w:rsidR="008225A7" w:rsidRPr="008225A7">
        <w:rPr>
          <w:lang w:val="fr-CA"/>
        </w:rPr>
        <w:t xml:space="preserve">étaient </w:t>
      </w:r>
      <w:proofErr w:type="gramStart"/>
      <w:r w:rsidR="008225A7" w:rsidRPr="008225A7">
        <w:rPr>
          <w:i/>
          <w:color w:val="0070C0"/>
          <w:lang w:val="fr-CA"/>
        </w:rPr>
        <w:t>examiné</w:t>
      </w:r>
      <w:proofErr w:type="gramEnd"/>
      <w:r w:rsidR="008225A7" w:rsidRPr="008225A7">
        <w:rPr>
          <w:color w:val="0070C0"/>
          <w:lang w:val="fr-CA"/>
        </w:rPr>
        <w:t xml:space="preserve"> </w:t>
      </w:r>
      <w:r w:rsidR="008225A7" w:rsidRPr="008225A7">
        <w:rPr>
          <w:i/>
          <w:color w:val="0070C0"/>
          <w:lang w:val="fr-CA"/>
        </w:rPr>
        <w:t>pour la première fois</w:t>
      </w:r>
      <w:r w:rsidRPr="008225A7">
        <w:rPr>
          <w:color w:val="0070C0"/>
          <w:lang w:val="fr-CA"/>
        </w:rPr>
        <w:t xml:space="preserve"> </w:t>
      </w:r>
      <w:r w:rsidR="008225A7">
        <w:rPr>
          <w:lang w:val="fr-CA"/>
        </w:rPr>
        <w:t xml:space="preserve">de </w:t>
      </w:r>
      <w:r w:rsidRPr="008225A7">
        <w:rPr>
          <w:lang w:val="fr-CA"/>
        </w:rPr>
        <w:t xml:space="preserve">1/7/17 </w:t>
      </w:r>
      <w:r w:rsidR="008225A7">
        <w:rPr>
          <w:lang w:val="fr-CA"/>
        </w:rPr>
        <w:t xml:space="preserve">à </w:t>
      </w:r>
      <w:r w:rsidRPr="008225A7">
        <w:rPr>
          <w:lang w:val="fr-CA"/>
        </w:rPr>
        <w:t>31/3/18</w:t>
      </w:r>
    </w:p>
    <w:p w14:paraId="4FC93076" w14:textId="1AEC1D5C" w:rsidR="00562C6A" w:rsidRPr="00027DD6" w:rsidRDefault="00562C6A" w:rsidP="00562C6A">
      <w:pPr>
        <w:pStyle w:val="ListParagraph"/>
        <w:numPr>
          <w:ilvl w:val="0"/>
          <w:numId w:val="2"/>
        </w:numPr>
        <w:rPr>
          <w:lang w:val="fr-CA"/>
        </w:rPr>
      </w:pPr>
      <w:r w:rsidRPr="00027DD6">
        <w:rPr>
          <w:lang w:val="fr-CA"/>
        </w:rPr>
        <w:t xml:space="preserve">45% (334) </w:t>
      </w:r>
      <w:r w:rsidR="003028BC">
        <w:rPr>
          <w:lang w:val="fr-CA"/>
        </w:rPr>
        <w:t>exigeaient</w:t>
      </w:r>
      <w:r w:rsidR="008225A7">
        <w:rPr>
          <w:lang w:val="fr-CA"/>
        </w:rPr>
        <w:t xml:space="preserve"> du suivi</w:t>
      </w:r>
    </w:p>
    <w:p w14:paraId="78D0D516" w14:textId="6F2F212B" w:rsidR="00562C6A" w:rsidRPr="008225A7" w:rsidRDefault="00562C6A" w:rsidP="00562C6A">
      <w:pPr>
        <w:pStyle w:val="ListParagraph"/>
        <w:numPr>
          <w:ilvl w:val="1"/>
          <w:numId w:val="2"/>
        </w:numPr>
        <w:rPr>
          <w:lang w:val="fr-CA"/>
        </w:rPr>
      </w:pPr>
      <w:r w:rsidRPr="008225A7">
        <w:rPr>
          <w:lang w:val="fr-CA"/>
        </w:rPr>
        <w:t xml:space="preserve">11% (80) </w:t>
      </w:r>
      <w:r w:rsidR="008225A7">
        <w:rPr>
          <w:lang w:val="fr-CA"/>
        </w:rPr>
        <w:t>exig</w:t>
      </w:r>
      <w:r w:rsidR="003028BC">
        <w:rPr>
          <w:lang w:val="fr-CA"/>
        </w:rPr>
        <w:t>e</w:t>
      </w:r>
      <w:r w:rsidR="0004688B">
        <w:rPr>
          <w:lang w:val="fr-CA"/>
        </w:rPr>
        <w:t>aient</w:t>
      </w:r>
      <w:r w:rsidR="008225A7">
        <w:rPr>
          <w:lang w:val="fr-CA"/>
        </w:rPr>
        <w:t xml:space="preserve"> du suivi par téléphone</w:t>
      </w:r>
    </w:p>
    <w:p w14:paraId="03EA69B9" w14:textId="70DACFFD" w:rsidR="00562C6A" w:rsidRPr="008225A7" w:rsidRDefault="00562C6A" w:rsidP="00562C6A">
      <w:pPr>
        <w:pStyle w:val="ListParagraph"/>
        <w:numPr>
          <w:ilvl w:val="1"/>
          <w:numId w:val="2"/>
        </w:numPr>
        <w:rPr>
          <w:lang w:val="fr-CA"/>
        </w:rPr>
      </w:pPr>
      <w:r w:rsidRPr="008225A7">
        <w:rPr>
          <w:lang w:val="fr-CA"/>
        </w:rPr>
        <w:t xml:space="preserve">38% (281) </w:t>
      </w:r>
      <w:r w:rsidR="003028BC">
        <w:rPr>
          <w:lang w:val="fr-CA"/>
        </w:rPr>
        <w:t xml:space="preserve">exigeaient l’envoie </w:t>
      </w:r>
      <w:r w:rsidR="008225A7" w:rsidRPr="008225A7">
        <w:rPr>
          <w:lang w:val="fr-CA"/>
        </w:rPr>
        <w:t>des lettres demandant plus d’</w:t>
      </w:r>
      <w:r w:rsidR="008225A7">
        <w:rPr>
          <w:lang w:val="fr-CA"/>
        </w:rPr>
        <w:t>informations</w:t>
      </w:r>
    </w:p>
    <w:p w14:paraId="73AB0BA3" w14:textId="156A133A" w:rsidR="00562C6A" w:rsidRPr="008225A7" w:rsidRDefault="00562C6A" w:rsidP="00562C6A">
      <w:pPr>
        <w:pStyle w:val="ListParagraph"/>
        <w:numPr>
          <w:ilvl w:val="2"/>
          <w:numId w:val="2"/>
        </w:numPr>
        <w:rPr>
          <w:lang w:val="fr-CA"/>
        </w:rPr>
      </w:pPr>
      <w:r w:rsidRPr="008225A7">
        <w:rPr>
          <w:lang w:val="fr-CA"/>
        </w:rPr>
        <w:t xml:space="preserve">9.4% (70) </w:t>
      </w:r>
      <w:r w:rsidR="008225A7">
        <w:rPr>
          <w:lang w:val="fr-CA"/>
        </w:rPr>
        <w:t>e</w:t>
      </w:r>
      <w:r w:rsidR="008225A7" w:rsidRPr="008225A7">
        <w:rPr>
          <w:lang w:val="fr-CA"/>
        </w:rPr>
        <w:t>xigeaient une deuxièm</w:t>
      </w:r>
      <w:r w:rsidR="008225A7">
        <w:rPr>
          <w:lang w:val="fr-CA"/>
        </w:rPr>
        <w:t>e demande d’informations</w:t>
      </w:r>
      <w:r w:rsidRPr="008225A7">
        <w:rPr>
          <w:lang w:val="fr-CA"/>
        </w:rPr>
        <w:t>.</w:t>
      </w:r>
    </w:p>
    <w:p w14:paraId="6251FDE9" w14:textId="44B20D9D" w:rsidR="00562C6A" w:rsidRPr="008225A7" w:rsidRDefault="00562C6A" w:rsidP="00562C6A">
      <w:pPr>
        <w:pStyle w:val="ListParagraph"/>
        <w:numPr>
          <w:ilvl w:val="0"/>
          <w:numId w:val="2"/>
        </w:numPr>
        <w:rPr>
          <w:lang w:val="fr-CA"/>
        </w:rPr>
      </w:pPr>
      <w:r w:rsidRPr="008225A7">
        <w:rPr>
          <w:lang w:val="fr-CA"/>
        </w:rPr>
        <w:t xml:space="preserve">34% </w:t>
      </w:r>
      <w:r w:rsidR="0028404C" w:rsidRPr="008225A7">
        <w:rPr>
          <w:lang w:val="fr-CA"/>
        </w:rPr>
        <w:t xml:space="preserve">(255) </w:t>
      </w:r>
      <w:r w:rsidR="00EF2D35">
        <w:rPr>
          <w:lang w:val="fr-CA"/>
        </w:rPr>
        <w:t>ont été e</w:t>
      </w:r>
      <w:r w:rsidR="008225A7" w:rsidRPr="008225A7">
        <w:rPr>
          <w:lang w:val="fr-CA"/>
        </w:rPr>
        <w:t>xamin</w:t>
      </w:r>
      <w:r w:rsidR="00EF2D35">
        <w:rPr>
          <w:lang w:val="fr-CA"/>
        </w:rPr>
        <w:t>é</w:t>
      </w:r>
      <w:r w:rsidR="008225A7" w:rsidRPr="008225A7">
        <w:rPr>
          <w:lang w:val="fr-CA"/>
        </w:rPr>
        <w:t xml:space="preserve"> à r</w:t>
      </w:r>
      <w:r w:rsidR="00EF2D35">
        <w:rPr>
          <w:lang w:val="fr-CA"/>
        </w:rPr>
        <w:t>é</w:t>
      </w:r>
      <w:r w:rsidR="008225A7" w:rsidRPr="008225A7">
        <w:rPr>
          <w:lang w:val="fr-CA"/>
        </w:rPr>
        <w:t>ception de plus d’informations</w:t>
      </w:r>
      <w:r w:rsidR="0028404C" w:rsidRPr="008225A7">
        <w:rPr>
          <w:lang w:val="fr-CA"/>
        </w:rPr>
        <w:t>.</w:t>
      </w:r>
    </w:p>
    <w:p w14:paraId="41999C79" w14:textId="7E29A2AC" w:rsidR="0028404C" w:rsidRPr="008225A7" w:rsidRDefault="0028404C" w:rsidP="0028404C">
      <w:pPr>
        <w:rPr>
          <w:lang w:val="fr-CA"/>
        </w:rPr>
      </w:pPr>
    </w:p>
    <w:p w14:paraId="1E52AB7B" w14:textId="3C1E2C9A" w:rsidR="0028404C" w:rsidRPr="00885582" w:rsidRDefault="008225A7" w:rsidP="0028404C">
      <w:pPr>
        <w:rPr>
          <w:lang w:val="fr-CA"/>
        </w:rPr>
      </w:pPr>
      <w:r>
        <w:rPr>
          <w:lang w:val="fr-CA"/>
        </w:rPr>
        <w:t>Le</w:t>
      </w:r>
      <w:r w:rsidR="0028404C" w:rsidRPr="00027DD6">
        <w:rPr>
          <w:lang w:val="fr-CA"/>
        </w:rPr>
        <w:t xml:space="preserve"> 31/3/18, 50 </w:t>
      </w:r>
      <w:r w:rsidR="00027DD6">
        <w:rPr>
          <w:lang w:val="fr-CA"/>
        </w:rPr>
        <w:t>formulaires</w:t>
      </w:r>
      <w:r w:rsidR="0028404C" w:rsidRPr="00027DD6">
        <w:rPr>
          <w:lang w:val="fr-CA"/>
        </w:rPr>
        <w:t xml:space="preserve"> </w:t>
      </w:r>
      <w:r>
        <w:rPr>
          <w:i/>
          <w:color w:val="FFC000"/>
          <w:lang w:val="fr-CA"/>
        </w:rPr>
        <w:t>attendaient l’évaluation</w:t>
      </w:r>
      <w:r w:rsidR="0028404C" w:rsidRPr="00027DD6">
        <w:rPr>
          <w:lang w:val="fr-CA"/>
        </w:rPr>
        <w:t xml:space="preserve">.  </w:t>
      </w:r>
      <w:r w:rsidR="00885582">
        <w:rPr>
          <w:lang w:val="fr-CA"/>
        </w:rPr>
        <w:t>T</w:t>
      </w:r>
      <w:r w:rsidR="00885582" w:rsidRPr="00885582">
        <w:rPr>
          <w:lang w:val="fr-CA"/>
        </w:rPr>
        <w:t xml:space="preserve">ous les </w:t>
      </w:r>
      <w:r w:rsidR="00885582">
        <w:rPr>
          <w:lang w:val="fr-CA"/>
        </w:rPr>
        <w:t xml:space="preserve">formulaires </w:t>
      </w:r>
      <w:r w:rsidR="00885582" w:rsidRPr="00885582">
        <w:rPr>
          <w:lang w:val="fr-CA"/>
        </w:rPr>
        <w:t>ont été examinées</w:t>
      </w:r>
      <w:r w:rsidR="0028404C" w:rsidRPr="00885582">
        <w:rPr>
          <w:lang w:val="fr-CA"/>
        </w:rPr>
        <w:t>.</w:t>
      </w:r>
    </w:p>
    <w:p w14:paraId="061FDB3F" w14:textId="0F2AB4DD" w:rsidR="0028404C" w:rsidRPr="00885582" w:rsidRDefault="0028404C" w:rsidP="0028404C">
      <w:pPr>
        <w:rPr>
          <w:lang w:val="fr-CA"/>
        </w:rPr>
      </w:pPr>
    </w:p>
    <w:p w14:paraId="746945DE" w14:textId="47DDD02D" w:rsidR="0028404C" w:rsidRPr="00027DD6" w:rsidRDefault="002D39A5" w:rsidP="0028404C">
      <w:pPr>
        <w:rPr>
          <w:lang w:val="fr-CA"/>
        </w:rPr>
      </w:pPr>
      <w:r w:rsidRPr="00027DD6">
        <w:rPr>
          <w:lang w:val="fr-CA"/>
        </w:rPr>
        <w:t xml:space="preserve">727 </w:t>
      </w:r>
      <w:r w:rsidR="00885582">
        <w:rPr>
          <w:i/>
          <w:color w:val="0070C0"/>
          <w:lang w:val="fr-CA"/>
        </w:rPr>
        <w:t xml:space="preserve">décisions </w:t>
      </w:r>
      <w:r w:rsidR="00885582" w:rsidRPr="00885582">
        <w:rPr>
          <w:color w:val="auto"/>
          <w:lang w:val="fr-CA"/>
        </w:rPr>
        <w:t>ont</w:t>
      </w:r>
      <w:r w:rsidR="00885582">
        <w:rPr>
          <w:color w:val="auto"/>
          <w:lang w:val="fr-CA"/>
        </w:rPr>
        <w:t xml:space="preserve"> </w:t>
      </w:r>
      <w:r w:rsidR="0004688B">
        <w:rPr>
          <w:color w:val="auto"/>
          <w:lang w:val="fr-CA"/>
        </w:rPr>
        <w:t xml:space="preserve">été </w:t>
      </w:r>
      <w:r w:rsidR="00885582">
        <w:rPr>
          <w:color w:val="auto"/>
          <w:lang w:val="fr-CA"/>
        </w:rPr>
        <w:t>rendues de</w:t>
      </w:r>
      <w:r w:rsidR="00885582">
        <w:rPr>
          <w:i/>
          <w:color w:val="auto"/>
          <w:lang w:val="fr-CA"/>
        </w:rPr>
        <w:t xml:space="preserve"> </w:t>
      </w:r>
      <w:r w:rsidR="00EB1B93" w:rsidRPr="00027DD6">
        <w:rPr>
          <w:lang w:val="fr-CA"/>
        </w:rPr>
        <w:t xml:space="preserve">1/7/17 </w:t>
      </w:r>
      <w:r w:rsidR="00885582">
        <w:rPr>
          <w:lang w:val="fr-CA"/>
        </w:rPr>
        <w:t>à</w:t>
      </w:r>
      <w:r w:rsidRPr="00027DD6">
        <w:rPr>
          <w:lang w:val="fr-CA"/>
        </w:rPr>
        <w:t xml:space="preserve"> </w:t>
      </w:r>
      <w:r w:rsidR="00EB1B93" w:rsidRPr="00027DD6">
        <w:rPr>
          <w:lang w:val="fr-CA"/>
        </w:rPr>
        <w:t>31/3/18</w:t>
      </w:r>
    </w:p>
    <w:p w14:paraId="552F1AD7" w14:textId="4F7D6907" w:rsidR="00EB1B93" w:rsidRPr="00885582" w:rsidRDefault="00EB1B93" w:rsidP="00EB1B93">
      <w:pPr>
        <w:pStyle w:val="ListParagraph"/>
        <w:numPr>
          <w:ilvl w:val="0"/>
          <w:numId w:val="2"/>
        </w:numPr>
        <w:rPr>
          <w:lang w:val="fr-CA"/>
        </w:rPr>
      </w:pPr>
      <w:r w:rsidRPr="00885582">
        <w:rPr>
          <w:lang w:val="fr-CA"/>
        </w:rPr>
        <w:t xml:space="preserve">713 </w:t>
      </w:r>
      <w:r w:rsidR="00885582" w:rsidRPr="00885582">
        <w:rPr>
          <w:lang w:val="fr-CA"/>
        </w:rPr>
        <w:t>cas</w:t>
      </w:r>
      <w:r w:rsidR="0007709A" w:rsidRPr="00885582">
        <w:rPr>
          <w:lang w:val="fr-CA"/>
        </w:rPr>
        <w:t xml:space="preserve"> </w:t>
      </w:r>
      <w:r w:rsidR="00027DD6" w:rsidRPr="00885582">
        <w:rPr>
          <w:lang w:val="fr-CA"/>
        </w:rPr>
        <w:t>reçu</w:t>
      </w:r>
      <w:r w:rsidR="00885582" w:rsidRPr="00885582">
        <w:rPr>
          <w:lang w:val="fr-CA"/>
        </w:rPr>
        <w:t>s</w:t>
      </w:r>
      <w:r w:rsidR="0007709A" w:rsidRPr="00885582">
        <w:rPr>
          <w:lang w:val="fr-CA"/>
        </w:rPr>
        <w:t xml:space="preserve"> </w:t>
      </w:r>
      <w:r w:rsidR="00885582" w:rsidRPr="00885582">
        <w:rPr>
          <w:lang w:val="fr-CA"/>
        </w:rPr>
        <w:t>et examinées pour la prem</w:t>
      </w:r>
      <w:r w:rsidR="00885582">
        <w:rPr>
          <w:lang w:val="fr-CA"/>
        </w:rPr>
        <w:t>ière fois cette année</w:t>
      </w:r>
    </w:p>
    <w:p w14:paraId="0B8D6AA3" w14:textId="30FE9E0C" w:rsidR="00EB1B93" w:rsidRPr="00885582" w:rsidRDefault="00EB1B93" w:rsidP="00EB1B93">
      <w:pPr>
        <w:pStyle w:val="ListParagraph"/>
        <w:numPr>
          <w:ilvl w:val="0"/>
          <w:numId w:val="2"/>
        </w:numPr>
        <w:rPr>
          <w:lang w:val="fr-CA"/>
        </w:rPr>
      </w:pPr>
      <w:r w:rsidRPr="00885582">
        <w:rPr>
          <w:lang w:val="fr-CA"/>
        </w:rPr>
        <w:t xml:space="preserve">14 </w:t>
      </w:r>
      <w:r w:rsidR="00885582" w:rsidRPr="00885582">
        <w:rPr>
          <w:lang w:val="fr-CA"/>
        </w:rPr>
        <w:t>cas reportés de l’année dernière.</w:t>
      </w:r>
    </w:p>
    <w:p w14:paraId="0385D234" w14:textId="67DFED38" w:rsidR="00505AF9" w:rsidRPr="00027DD6" w:rsidRDefault="00505AF9" w:rsidP="00505AF9">
      <w:pPr>
        <w:pStyle w:val="ListParagraph"/>
        <w:numPr>
          <w:ilvl w:val="0"/>
          <w:numId w:val="2"/>
        </w:numPr>
        <w:rPr>
          <w:lang w:val="fr-CA"/>
        </w:rPr>
      </w:pPr>
      <w:r w:rsidRPr="00027DD6">
        <w:rPr>
          <w:lang w:val="fr-CA"/>
        </w:rPr>
        <w:t xml:space="preserve">44% (320) </w:t>
      </w:r>
      <w:r w:rsidR="00885582">
        <w:rPr>
          <w:lang w:val="fr-CA"/>
        </w:rPr>
        <w:t>cas ont exigés plus d’informations.</w:t>
      </w:r>
    </w:p>
    <w:p w14:paraId="22A8796D" w14:textId="75F055BD" w:rsidR="00505AF9" w:rsidRPr="00027DD6" w:rsidRDefault="00505AF9" w:rsidP="00DC4752">
      <w:pPr>
        <w:rPr>
          <w:lang w:val="fr-CA"/>
        </w:rPr>
      </w:pPr>
    </w:p>
    <w:p w14:paraId="20163703" w14:textId="54C7374A" w:rsidR="00DC4752" w:rsidRPr="00885582" w:rsidRDefault="00885582" w:rsidP="00DC4752">
      <w:pPr>
        <w:rPr>
          <w:color w:val="C00000"/>
          <w:lang w:val="fr-CA"/>
        </w:rPr>
      </w:pPr>
      <w:r w:rsidRPr="00885582">
        <w:rPr>
          <w:lang w:val="fr-CA"/>
        </w:rPr>
        <w:t>Le</w:t>
      </w:r>
      <w:r w:rsidR="00DC4752" w:rsidRPr="00885582">
        <w:rPr>
          <w:lang w:val="fr-CA"/>
        </w:rPr>
        <w:t xml:space="preserve"> 31/3/18, 69 </w:t>
      </w:r>
      <w:r w:rsidRPr="00885582">
        <w:rPr>
          <w:lang w:val="fr-CA"/>
        </w:rPr>
        <w:t xml:space="preserve">cas </w:t>
      </w:r>
      <w:r w:rsidRPr="00885582">
        <w:rPr>
          <w:i/>
          <w:color w:val="FFC000"/>
          <w:lang w:val="fr-CA"/>
        </w:rPr>
        <w:t>attendaient une décision</w:t>
      </w:r>
      <w:r w:rsidR="00DC4752" w:rsidRPr="00885582">
        <w:rPr>
          <w:i/>
          <w:color w:val="C00000"/>
          <w:lang w:val="fr-CA"/>
        </w:rPr>
        <w:t>.</w:t>
      </w:r>
    </w:p>
    <w:p w14:paraId="7CEC284D" w14:textId="0AD30B23" w:rsidR="00DC4752" w:rsidRPr="00885582" w:rsidRDefault="00DC4752" w:rsidP="00DC4752">
      <w:pPr>
        <w:rPr>
          <w:lang w:val="fr-CA"/>
        </w:rPr>
      </w:pPr>
    </w:p>
    <w:p w14:paraId="5D5EE640" w14:textId="43945C83" w:rsidR="00DC4752" w:rsidRPr="00885582" w:rsidRDefault="00885582" w:rsidP="00DC4752">
      <w:pPr>
        <w:rPr>
          <w:color w:val="C00000"/>
          <w:lang w:val="fr-CA"/>
        </w:rPr>
      </w:pPr>
      <w:r w:rsidRPr="00885582">
        <w:rPr>
          <w:color w:val="C00000"/>
          <w:lang w:val="fr-CA"/>
        </w:rPr>
        <w:t xml:space="preserve">Si </w:t>
      </w:r>
      <w:r>
        <w:rPr>
          <w:color w:val="C00000"/>
          <w:lang w:val="fr-CA"/>
        </w:rPr>
        <w:t>on</w:t>
      </w:r>
      <w:r w:rsidRPr="00885582">
        <w:rPr>
          <w:color w:val="C00000"/>
          <w:lang w:val="fr-CA"/>
        </w:rPr>
        <w:t xml:space="preserve"> ajoute 727 (</w:t>
      </w:r>
      <w:r>
        <w:rPr>
          <w:color w:val="C00000"/>
          <w:lang w:val="fr-CA"/>
        </w:rPr>
        <w:t xml:space="preserve">cas </w:t>
      </w:r>
      <w:r w:rsidRPr="00885582">
        <w:rPr>
          <w:color w:val="C00000"/>
          <w:lang w:val="fr-CA"/>
        </w:rPr>
        <w:t>réglés) à 69 (</w:t>
      </w:r>
      <w:r>
        <w:rPr>
          <w:color w:val="C00000"/>
          <w:lang w:val="fr-CA"/>
        </w:rPr>
        <w:t>cas</w:t>
      </w:r>
      <w:r w:rsidRPr="00885582">
        <w:rPr>
          <w:color w:val="C00000"/>
          <w:lang w:val="fr-CA"/>
        </w:rPr>
        <w:t xml:space="preserve"> en attente de décision), cela ne correspond pas à 782 (</w:t>
      </w:r>
      <w:proofErr w:type="gramStart"/>
      <w:r>
        <w:rPr>
          <w:color w:val="C00000"/>
          <w:lang w:val="fr-CA"/>
        </w:rPr>
        <w:t>cas</w:t>
      </w:r>
      <w:r w:rsidRPr="00885582">
        <w:rPr>
          <w:color w:val="C00000"/>
          <w:lang w:val="fr-CA"/>
        </w:rPr>
        <w:t xml:space="preserve"> examinées</w:t>
      </w:r>
      <w:proofErr w:type="gramEnd"/>
      <w:r w:rsidRPr="00885582">
        <w:rPr>
          <w:color w:val="C00000"/>
          <w:lang w:val="fr-CA"/>
        </w:rPr>
        <w:t xml:space="preserve"> au cours de la période).</w:t>
      </w:r>
    </w:p>
    <w:p w14:paraId="65834683" w14:textId="7834E9E0" w:rsidR="00951238" w:rsidRPr="00885582" w:rsidRDefault="00951238" w:rsidP="00DC4752">
      <w:pPr>
        <w:rPr>
          <w:lang w:val="fr-CA"/>
        </w:rPr>
      </w:pPr>
    </w:p>
    <w:p w14:paraId="20FD31DC" w14:textId="2DB5473B" w:rsidR="00951238" w:rsidRPr="00027DD6" w:rsidRDefault="00885582" w:rsidP="00DC4752">
      <w:pPr>
        <w:rPr>
          <w:lang w:val="fr-CA"/>
        </w:rPr>
      </w:pPr>
      <w:proofErr w:type="gramStart"/>
      <w:r>
        <w:rPr>
          <w:lang w:val="fr-CA"/>
        </w:rPr>
        <w:t>de</w:t>
      </w:r>
      <w:proofErr w:type="gramEnd"/>
      <w:r w:rsidR="00951238" w:rsidRPr="00027DD6">
        <w:rPr>
          <w:lang w:val="fr-CA"/>
        </w:rPr>
        <w:t xml:space="preserve"> </w:t>
      </w:r>
      <w:r w:rsidR="00003827" w:rsidRPr="00A670B0">
        <w:rPr>
          <w:color w:val="0070C0"/>
          <w:lang w:val="fr-CA"/>
        </w:rPr>
        <w:t xml:space="preserve">727 </w:t>
      </w:r>
      <w:r w:rsidR="00A670B0">
        <w:rPr>
          <w:color w:val="0070C0"/>
          <w:lang w:val="fr-CA"/>
        </w:rPr>
        <w:t>décisions rendues</w:t>
      </w:r>
    </w:p>
    <w:p w14:paraId="311AADCD" w14:textId="07BBCF93" w:rsidR="00951238" w:rsidRPr="00027DD6" w:rsidRDefault="00951238" w:rsidP="00DC4752">
      <w:pPr>
        <w:rPr>
          <w:lang w:val="fr-CA"/>
        </w:rPr>
      </w:pPr>
      <w:r w:rsidRPr="00027DD6">
        <w:rPr>
          <w:lang w:val="fr-CA"/>
        </w:rPr>
        <w:t xml:space="preserve">90% </w:t>
      </w:r>
      <w:r w:rsidR="008E34FB" w:rsidRPr="00027DD6">
        <w:rPr>
          <w:lang w:val="fr-CA"/>
        </w:rPr>
        <w:t xml:space="preserve">(658 cas) </w:t>
      </w:r>
      <w:r w:rsidR="00885582">
        <w:rPr>
          <w:color w:val="00B050"/>
          <w:lang w:val="fr-CA"/>
        </w:rPr>
        <w:t>le processus était conforme aux exigences</w:t>
      </w:r>
    </w:p>
    <w:p w14:paraId="6503075A" w14:textId="7F1C7607" w:rsidR="00951238" w:rsidRPr="00027DD6" w:rsidRDefault="00951238" w:rsidP="00DC4752">
      <w:pPr>
        <w:rPr>
          <w:lang w:val="fr-CA"/>
        </w:rPr>
      </w:pPr>
      <w:r w:rsidRPr="00027DD6">
        <w:rPr>
          <w:lang w:val="fr-CA"/>
        </w:rPr>
        <w:t>7% (50</w:t>
      </w:r>
      <w:r w:rsidR="008E34FB" w:rsidRPr="00027DD6">
        <w:rPr>
          <w:lang w:val="fr-CA"/>
        </w:rPr>
        <w:t xml:space="preserve"> </w:t>
      </w:r>
      <w:r w:rsidR="00137BCA">
        <w:rPr>
          <w:lang w:val="fr-CA"/>
        </w:rPr>
        <w:t>cas</w:t>
      </w:r>
      <w:r w:rsidRPr="00027DD6">
        <w:rPr>
          <w:lang w:val="fr-CA"/>
        </w:rPr>
        <w:t xml:space="preserve">) </w:t>
      </w:r>
      <w:r w:rsidR="00885582">
        <w:rPr>
          <w:color w:val="FFC000"/>
          <w:lang w:val="fr-CA"/>
        </w:rPr>
        <w:t xml:space="preserve">La Commission n’a pas pu </w:t>
      </w:r>
      <w:r w:rsidR="0004688B">
        <w:rPr>
          <w:color w:val="FFC000"/>
          <w:lang w:val="fr-CA"/>
        </w:rPr>
        <w:t>conclure sur le respecte de la loi</w:t>
      </w:r>
    </w:p>
    <w:p w14:paraId="4870EF80" w14:textId="619EDAD2" w:rsidR="00951238" w:rsidRPr="00885582" w:rsidRDefault="00951238" w:rsidP="00951238">
      <w:pPr>
        <w:pStyle w:val="ListParagraph"/>
        <w:numPr>
          <w:ilvl w:val="0"/>
          <w:numId w:val="2"/>
        </w:numPr>
        <w:rPr>
          <w:lang w:val="fr-CA"/>
        </w:rPr>
      </w:pPr>
      <w:r w:rsidRPr="00885582">
        <w:rPr>
          <w:lang w:val="fr-CA"/>
        </w:rPr>
        <w:t xml:space="preserve">23 </w:t>
      </w:r>
      <w:r w:rsidR="00137BCA">
        <w:rPr>
          <w:lang w:val="fr-CA"/>
        </w:rPr>
        <w:t>cas</w:t>
      </w:r>
      <w:r w:rsidRPr="00885582">
        <w:rPr>
          <w:lang w:val="fr-CA"/>
        </w:rPr>
        <w:t xml:space="preserve"> – </w:t>
      </w:r>
      <w:r w:rsidR="003028BC">
        <w:rPr>
          <w:lang w:val="fr-CA"/>
        </w:rPr>
        <w:t xml:space="preserve">les </w:t>
      </w:r>
      <w:r w:rsidR="00885582" w:rsidRPr="00885582">
        <w:rPr>
          <w:lang w:val="fr-CA"/>
        </w:rPr>
        <w:t>information n’était pas fo</w:t>
      </w:r>
      <w:r w:rsidR="00885582">
        <w:rPr>
          <w:lang w:val="fr-CA"/>
        </w:rPr>
        <w:t>urnis par le médecin</w:t>
      </w:r>
    </w:p>
    <w:p w14:paraId="196F2BEB" w14:textId="20DD7059" w:rsidR="00951238" w:rsidRPr="00027DD6" w:rsidRDefault="008E34FB" w:rsidP="00951238">
      <w:pPr>
        <w:pStyle w:val="ListParagraph"/>
        <w:numPr>
          <w:ilvl w:val="0"/>
          <w:numId w:val="2"/>
        </w:numPr>
        <w:rPr>
          <w:lang w:val="fr-CA"/>
        </w:rPr>
      </w:pPr>
      <w:r w:rsidRPr="00027DD6">
        <w:rPr>
          <w:lang w:val="fr-CA"/>
        </w:rPr>
        <w:t xml:space="preserve">27 </w:t>
      </w:r>
      <w:r w:rsidR="00137BCA">
        <w:rPr>
          <w:lang w:val="fr-CA"/>
        </w:rPr>
        <w:t>cas</w:t>
      </w:r>
      <w:r w:rsidRPr="00027DD6">
        <w:rPr>
          <w:lang w:val="fr-CA"/>
        </w:rPr>
        <w:t xml:space="preserve"> – </w:t>
      </w:r>
      <w:r w:rsidR="003028BC">
        <w:rPr>
          <w:lang w:val="fr-CA"/>
        </w:rPr>
        <w:t xml:space="preserve">les </w:t>
      </w:r>
      <w:r w:rsidRPr="00027DD6">
        <w:rPr>
          <w:lang w:val="fr-CA"/>
        </w:rPr>
        <w:t>Information</w:t>
      </w:r>
      <w:r w:rsidR="003028BC">
        <w:rPr>
          <w:lang w:val="fr-CA"/>
        </w:rPr>
        <w:t>s étaient toujours insuffisant</w:t>
      </w:r>
    </w:p>
    <w:p w14:paraId="2C7BF7CD" w14:textId="714E115A" w:rsidR="008E34FB" w:rsidRPr="003028BC" w:rsidRDefault="003028BC" w:rsidP="008E34FB">
      <w:pPr>
        <w:pStyle w:val="ListParagraph"/>
        <w:numPr>
          <w:ilvl w:val="1"/>
          <w:numId w:val="2"/>
        </w:numPr>
        <w:rPr>
          <w:lang w:val="fr-CA"/>
        </w:rPr>
      </w:pPr>
      <w:r w:rsidRPr="003028BC">
        <w:rPr>
          <w:lang w:val="fr-CA"/>
        </w:rPr>
        <w:t xml:space="preserve">En </w:t>
      </w:r>
      <w:r w:rsidR="008E34FB" w:rsidRPr="003028BC">
        <w:rPr>
          <w:lang w:val="fr-CA"/>
        </w:rPr>
        <w:t xml:space="preserve">13 </w:t>
      </w:r>
      <w:r w:rsidRPr="003028BC">
        <w:rPr>
          <w:lang w:val="fr-CA"/>
        </w:rPr>
        <w:t xml:space="preserve">cas, le médecin indiquait qu’il n’avait plus d’informations </w:t>
      </w:r>
    </w:p>
    <w:p w14:paraId="4C978E96" w14:textId="2B5E820B" w:rsidR="00951238" w:rsidRPr="00027DD6" w:rsidRDefault="00951238" w:rsidP="00DC4752">
      <w:pPr>
        <w:rPr>
          <w:lang w:val="fr-CA"/>
        </w:rPr>
      </w:pPr>
      <w:r w:rsidRPr="00027DD6">
        <w:rPr>
          <w:lang w:val="fr-CA"/>
        </w:rPr>
        <w:t xml:space="preserve">3% </w:t>
      </w:r>
      <w:r w:rsidR="008E34FB" w:rsidRPr="00027DD6">
        <w:rPr>
          <w:lang w:val="fr-CA"/>
        </w:rPr>
        <w:t xml:space="preserve">(19 </w:t>
      </w:r>
      <w:r w:rsidR="00137BCA">
        <w:rPr>
          <w:lang w:val="fr-CA"/>
        </w:rPr>
        <w:t>cas</w:t>
      </w:r>
      <w:r w:rsidR="008E34FB" w:rsidRPr="00027DD6">
        <w:rPr>
          <w:lang w:val="fr-CA"/>
        </w:rPr>
        <w:t xml:space="preserve">) </w:t>
      </w:r>
      <w:r w:rsidR="003028BC">
        <w:rPr>
          <w:b/>
          <w:color w:val="C00000"/>
          <w:lang w:val="fr-CA"/>
        </w:rPr>
        <w:t>N’étaient pas conforme</w:t>
      </w:r>
    </w:p>
    <w:p w14:paraId="069321C9" w14:textId="6676640D" w:rsidR="003028BC" w:rsidRPr="003028BC" w:rsidRDefault="008E34FB" w:rsidP="008E34FB">
      <w:pPr>
        <w:pStyle w:val="ListParagraph"/>
        <w:numPr>
          <w:ilvl w:val="0"/>
          <w:numId w:val="2"/>
        </w:numPr>
        <w:rPr>
          <w:lang w:val="fr-CA"/>
        </w:rPr>
      </w:pPr>
      <w:r w:rsidRPr="003028BC">
        <w:rPr>
          <w:lang w:val="fr-CA"/>
        </w:rPr>
        <w:t xml:space="preserve">6 </w:t>
      </w:r>
      <w:r w:rsidR="00137BCA">
        <w:rPr>
          <w:lang w:val="fr-CA"/>
        </w:rPr>
        <w:t>cas</w:t>
      </w:r>
      <w:r w:rsidRPr="003028BC">
        <w:rPr>
          <w:lang w:val="fr-CA"/>
        </w:rPr>
        <w:t xml:space="preserve"> – </w:t>
      </w:r>
      <w:r w:rsidR="00A670B0">
        <w:rPr>
          <w:lang w:val="fr-CA"/>
        </w:rPr>
        <w:t>Le d</w:t>
      </w:r>
      <w:r w:rsidR="003028BC" w:rsidRPr="003028BC">
        <w:rPr>
          <w:lang w:val="fr-CA"/>
        </w:rPr>
        <w:t xml:space="preserve">euxième médecin a </w:t>
      </w:r>
      <w:r w:rsidR="003028BC">
        <w:rPr>
          <w:lang w:val="fr-CA"/>
        </w:rPr>
        <w:t xml:space="preserve">approuvé </w:t>
      </w:r>
      <w:r w:rsidR="00B34ADB">
        <w:rPr>
          <w:lang w:val="fr-CA"/>
        </w:rPr>
        <w:t xml:space="preserve">l’euthanasie </w:t>
      </w:r>
      <w:r w:rsidR="003028BC" w:rsidRPr="003028BC">
        <w:rPr>
          <w:lang w:val="fr-CA"/>
        </w:rPr>
        <w:t>avant que la</w:t>
      </w:r>
      <w:r w:rsidR="003028BC">
        <w:rPr>
          <w:lang w:val="fr-CA"/>
        </w:rPr>
        <w:t xml:space="preserve"> demande ne soit </w:t>
      </w:r>
      <w:proofErr w:type="gramStart"/>
      <w:r w:rsidR="003028BC">
        <w:rPr>
          <w:lang w:val="fr-CA"/>
        </w:rPr>
        <w:t>signé</w:t>
      </w:r>
      <w:proofErr w:type="gramEnd"/>
      <w:r w:rsidR="00A670B0">
        <w:rPr>
          <w:lang w:val="fr-CA"/>
        </w:rPr>
        <w:t>.</w:t>
      </w:r>
    </w:p>
    <w:p w14:paraId="2ED6EED5" w14:textId="1C58DA89" w:rsidR="003028BC" w:rsidRDefault="008E34FB" w:rsidP="008E34FB">
      <w:pPr>
        <w:pStyle w:val="ListParagraph"/>
        <w:numPr>
          <w:ilvl w:val="0"/>
          <w:numId w:val="2"/>
        </w:numPr>
        <w:rPr>
          <w:lang w:val="fr-CA"/>
        </w:rPr>
      </w:pPr>
      <w:r w:rsidRPr="00027DD6">
        <w:rPr>
          <w:lang w:val="fr-CA"/>
        </w:rPr>
        <w:t xml:space="preserve">3 </w:t>
      </w:r>
      <w:r w:rsidR="00137BCA">
        <w:rPr>
          <w:lang w:val="fr-CA"/>
        </w:rPr>
        <w:t>cas</w:t>
      </w:r>
      <w:r w:rsidRPr="00027DD6">
        <w:rPr>
          <w:lang w:val="fr-CA"/>
        </w:rPr>
        <w:t xml:space="preserve"> – </w:t>
      </w:r>
      <w:r w:rsidR="003028BC">
        <w:rPr>
          <w:lang w:val="fr-CA"/>
        </w:rPr>
        <w:t>La personne qui a contresigné la demande n’était pas un professionnel de la santé.</w:t>
      </w:r>
    </w:p>
    <w:p w14:paraId="57A6D38C" w14:textId="6504A28A" w:rsidR="003028BC" w:rsidRDefault="008E34FB" w:rsidP="008E34FB">
      <w:pPr>
        <w:pStyle w:val="ListParagraph"/>
        <w:numPr>
          <w:ilvl w:val="0"/>
          <w:numId w:val="2"/>
        </w:numPr>
        <w:rPr>
          <w:lang w:val="fr-CA"/>
        </w:rPr>
      </w:pPr>
      <w:r w:rsidRPr="00027DD6">
        <w:rPr>
          <w:lang w:val="fr-CA"/>
        </w:rPr>
        <w:t xml:space="preserve">3 </w:t>
      </w:r>
      <w:r w:rsidR="00137BCA">
        <w:rPr>
          <w:lang w:val="fr-CA"/>
        </w:rPr>
        <w:t>cas</w:t>
      </w:r>
      <w:r w:rsidRPr="00027DD6">
        <w:rPr>
          <w:lang w:val="fr-CA"/>
        </w:rPr>
        <w:t xml:space="preserve"> – </w:t>
      </w:r>
      <w:r w:rsidR="003028BC">
        <w:rPr>
          <w:lang w:val="fr-CA"/>
        </w:rPr>
        <w:t xml:space="preserve">La personne n’avait pas de « maladie grave et incurable, » donc elle n’était </w:t>
      </w:r>
      <w:r w:rsidR="003028BC" w:rsidRPr="003028BC">
        <w:rPr>
          <w:color w:val="C00000"/>
          <w:lang w:val="fr-CA"/>
        </w:rPr>
        <w:t>pas admissible</w:t>
      </w:r>
      <w:r w:rsidR="003028BC">
        <w:rPr>
          <w:color w:val="C00000"/>
          <w:lang w:val="fr-CA"/>
        </w:rPr>
        <w:t xml:space="preserve"> </w:t>
      </w:r>
      <w:r w:rsidR="003028BC" w:rsidRPr="003028BC">
        <w:rPr>
          <w:color w:val="auto"/>
          <w:lang w:val="fr-CA"/>
        </w:rPr>
        <w:t>(p. 16)</w:t>
      </w:r>
    </w:p>
    <w:p w14:paraId="27B8784D" w14:textId="0F30AAE2" w:rsidR="003028BC" w:rsidRDefault="008E34FB" w:rsidP="008E34FB">
      <w:pPr>
        <w:pStyle w:val="ListParagraph"/>
        <w:numPr>
          <w:ilvl w:val="0"/>
          <w:numId w:val="2"/>
        </w:numPr>
        <w:rPr>
          <w:lang w:val="fr-CA"/>
        </w:rPr>
      </w:pPr>
      <w:r w:rsidRPr="00027DD6">
        <w:rPr>
          <w:lang w:val="fr-CA"/>
        </w:rPr>
        <w:t xml:space="preserve">3 </w:t>
      </w:r>
      <w:r w:rsidR="00137BCA">
        <w:rPr>
          <w:lang w:val="fr-CA"/>
        </w:rPr>
        <w:t>cas</w:t>
      </w:r>
      <w:r w:rsidRPr="00027DD6">
        <w:rPr>
          <w:lang w:val="fr-CA"/>
        </w:rPr>
        <w:t xml:space="preserve"> – </w:t>
      </w:r>
      <w:r w:rsidR="003028BC">
        <w:rPr>
          <w:lang w:val="fr-CA"/>
        </w:rPr>
        <w:t>La personne n’avait pas d’assurance maladie</w:t>
      </w:r>
    </w:p>
    <w:p w14:paraId="197D7E0D" w14:textId="18B4FF20" w:rsidR="00340260" w:rsidRDefault="008E34FB" w:rsidP="008E34FB">
      <w:pPr>
        <w:pStyle w:val="ListParagraph"/>
        <w:numPr>
          <w:ilvl w:val="0"/>
          <w:numId w:val="2"/>
        </w:numPr>
        <w:rPr>
          <w:lang w:val="fr-CA"/>
        </w:rPr>
      </w:pPr>
      <w:r w:rsidRPr="00027DD6">
        <w:rPr>
          <w:lang w:val="fr-CA"/>
        </w:rPr>
        <w:t xml:space="preserve">2 </w:t>
      </w:r>
      <w:r w:rsidR="00137BCA">
        <w:rPr>
          <w:lang w:val="fr-CA"/>
        </w:rPr>
        <w:t>cas</w:t>
      </w:r>
      <w:r w:rsidRPr="00027DD6">
        <w:rPr>
          <w:lang w:val="fr-CA"/>
        </w:rPr>
        <w:t xml:space="preserve"> – </w:t>
      </w:r>
      <w:r w:rsidR="00340260">
        <w:rPr>
          <w:lang w:val="fr-CA"/>
        </w:rPr>
        <w:t xml:space="preserve">Le médecin </w:t>
      </w:r>
      <w:r w:rsidR="00340260" w:rsidRPr="00340260">
        <w:rPr>
          <w:color w:val="C00000"/>
          <w:lang w:val="fr-CA"/>
        </w:rPr>
        <w:t>a rencontré la personne que la journée où l’euthanasie a été pratiqué</w:t>
      </w:r>
      <w:r w:rsidR="00340260">
        <w:rPr>
          <w:color w:val="C00000"/>
          <w:lang w:val="fr-CA"/>
        </w:rPr>
        <w:t xml:space="preserve">. </w:t>
      </w:r>
      <w:r w:rsidR="00340260">
        <w:rPr>
          <w:color w:val="auto"/>
          <w:lang w:val="fr-CA"/>
        </w:rPr>
        <w:t>Il n’a pas mené des entretiens avec la personne à plusieurs occasions pour s’assurer de la persistance de ses souffrances et son désir de mourir.</w:t>
      </w:r>
    </w:p>
    <w:p w14:paraId="15457C75" w14:textId="528DBB22" w:rsidR="00340260" w:rsidRDefault="008E34FB" w:rsidP="008E34FB">
      <w:pPr>
        <w:pStyle w:val="ListParagraph"/>
        <w:numPr>
          <w:ilvl w:val="0"/>
          <w:numId w:val="2"/>
        </w:numPr>
        <w:rPr>
          <w:lang w:val="fr-CA"/>
        </w:rPr>
      </w:pPr>
      <w:r w:rsidRPr="00027DD6">
        <w:rPr>
          <w:lang w:val="fr-CA"/>
        </w:rPr>
        <w:lastRenderedPageBreak/>
        <w:t xml:space="preserve">2 </w:t>
      </w:r>
      <w:r w:rsidR="00137BCA">
        <w:rPr>
          <w:lang w:val="fr-CA"/>
        </w:rPr>
        <w:t>cas</w:t>
      </w:r>
      <w:r w:rsidRPr="00027DD6">
        <w:rPr>
          <w:lang w:val="fr-CA"/>
        </w:rPr>
        <w:t xml:space="preserve"> – </w:t>
      </w:r>
      <w:r w:rsidR="00340260">
        <w:rPr>
          <w:lang w:val="fr-CA"/>
        </w:rPr>
        <w:t>Le médecin n’a pas assurer de la conformité avec les protections</w:t>
      </w:r>
    </w:p>
    <w:p w14:paraId="6C5D5F77" w14:textId="6A406A6E" w:rsidR="00921532" w:rsidRPr="0091108B" w:rsidRDefault="00921532" w:rsidP="00921532">
      <w:pPr>
        <w:rPr>
          <w:lang w:val="fr-CA"/>
        </w:rPr>
      </w:pPr>
    </w:p>
    <w:p w14:paraId="443FE89F" w14:textId="43C69A7A" w:rsidR="00921532" w:rsidRPr="00340260" w:rsidRDefault="00340260" w:rsidP="00921532">
      <w:pPr>
        <w:rPr>
          <w:lang w:val="fr-CA"/>
        </w:rPr>
      </w:pPr>
      <w:r w:rsidRPr="00340260">
        <w:rPr>
          <w:lang w:val="fr-CA"/>
        </w:rPr>
        <w:t>LES INFORMATIONS DÉPOSÉS PAR DES ÉTABLISS</w:t>
      </w:r>
      <w:r>
        <w:rPr>
          <w:lang w:val="fr-CA"/>
        </w:rPr>
        <w:t xml:space="preserve">EMENTS ET LE </w:t>
      </w:r>
      <w:r w:rsidR="001C2D01" w:rsidRPr="00340260">
        <w:rPr>
          <w:lang w:val="fr-CA"/>
        </w:rPr>
        <w:t>CMQ</w:t>
      </w:r>
    </w:p>
    <w:p w14:paraId="6D4A2905" w14:textId="511485B3" w:rsidR="001C2D01" w:rsidRPr="00340260" w:rsidRDefault="001C2D01" w:rsidP="00921532">
      <w:pPr>
        <w:rPr>
          <w:lang w:val="fr-CA"/>
        </w:rPr>
      </w:pPr>
    </w:p>
    <w:p w14:paraId="3DA14E08" w14:textId="1C1E44E4" w:rsidR="003354BA" w:rsidRPr="00340260" w:rsidRDefault="003354BA" w:rsidP="003354BA">
      <w:pPr>
        <w:rPr>
          <w:lang w:val="fr-CA"/>
        </w:rPr>
      </w:pPr>
      <w:r w:rsidRPr="00340260">
        <w:rPr>
          <w:color w:val="auto"/>
          <w:lang w:val="fr-CA"/>
        </w:rPr>
        <w:t xml:space="preserve">745 </w:t>
      </w:r>
      <w:r w:rsidR="00340260" w:rsidRPr="00340260">
        <w:rPr>
          <w:color w:val="ED7D31" w:themeColor="accent2"/>
          <w:lang w:val="fr-CA"/>
        </w:rPr>
        <w:t xml:space="preserve">Sédations palliatives </w:t>
      </w:r>
      <w:proofErr w:type="gramStart"/>
      <w:r w:rsidR="00340260" w:rsidRPr="00340260">
        <w:rPr>
          <w:color w:val="ED7D31" w:themeColor="accent2"/>
          <w:lang w:val="fr-CA"/>
        </w:rPr>
        <w:t>continu</w:t>
      </w:r>
      <w:bookmarkStart w:id="0" w:name="_GoBack"/>
      <w:bookmarkEnd w:id="0"/>
      <w:r w:rsidR="00340260" w:rsidRPr="00340260">
        <w:rPr>
          <w:color w:val="ED7D31" w:themeColor="accent2"/>
          <w:lang w:val="fr-CA"/>
        </w:rPr>
        <w:t>es</w:t>
      </w:r>
      <w:proofErr w:type="gramEnd"/>
      <w:r w:rsidR="00340260" w:rsidRPr="00340260">
        <w:rPr>
          <w:color w:val="ED7D31" w:themeColor="accent2"/>
          <w:lang w:val="fr-CA"/>
        </w:rPr>
        <w:t xml:space="preserve"> </w:t>
      </w:r>
      <w:r w:rsidR="00340260" w:rsidRPr="00340260">
        <w:rPr>
          <w:color w:val="auto"/>
          <w:lang w:val="fr-CA"/>
        </w:rPr>
        <w:t>pendant le p</w:t>
      </w:r>
      <w:r w:rsidR="00340260">
        <w:rPr>
          <w:color w:val="auto"/>
          <w:lang w:val="fr-CA"/>
        </w:rPr>
        <w:t>é</w:t>
      </w:r>
      <w:r w:rsidR="00340260" w:rsidRPr="00340260">
        <w:rPr>
          <w:color w:val="auto"/>
          <w:lang w:val="fr-CA"/>
        </w:rPr>
        <w:t>r</w:t>
      </w:r>
      <w:r w:rsidR="00340260">
        <w:rPr>
          <w:color w:val="auto"/>
          <w:lang w:val="fr-CA"/>
        </w:rPr>
        <w:t xml:space="preserve">iode </w:t>
      </w:r>
      <w:r w:rsidRPr="00340260">
        <w:rPr>
          <w:lang w:val="fr-CA"/>
        </w:rPr>
        <w:t xml:space="preserve">10/6/17 </w:t>
      </w:r>
      <w:r w:rsidR="00340260">
        <w:rPr>
          <w:lang w:val="fr-CA"/>
        </w:rPr>
        <w:t>à</w:t>
      </w:r>
      <w:r w:rsidRPr="00340260">
        <w:rPr>
          <w:lang w:val="fr-CA"/>
        </w:rPr>
        <w:t xml:space="preserve"> 31/3/18</w:t>
      </w:r>
    </w:p>
    <w:p w14:paraId="6316F3D6" w14:textId="77777777" w:rsidR="003354BA" w:rsidRPr="00027DD6" w:rsidRDefault="003354BA" w:rsidP="00921532">
      <w:pPr>
        <w:rPr>
          <w:lang w:val="fr-CA"/>
        </w:rPr>
      </w:pPr>
    </w:p>
    <w:p w14:paraId="1B59F8A0" w14:textId="4ED6393B" w:rsidR="001C2D01" w:rsidRPr="00340260" w:rsidRDefault="001C2D01" w:rsidP="00340260">
      <w:pPr>
        <w:rPr>
          <w:lang w:val="fr-CA"/>
        </w:rPr>
      </w:pPr>
      <w:r w:rsidRPr="00340260">
        <w:rPr>
          <w:lang w:val="fr-CA"/>
        </w:rPr>
        <w:t xml:space="preserve">1,225* </w:t>
      </w:r>
      <w:r w:rsidR="00340260" w:rsidRPr="00340260">
        <w:rPr>
          <w:lang w:val="fr-CA"/>
        </w:rPr>
        <w:t xml:space="preserve">demandes d’euthanasie ont été </w:t>
      </w:r>
      <w:r w:rsidR="00340260" w:rsidRPr="008A5FBA">
        <w:rPr>
          <w:color w:val="5B9BD5" w:themeColor="accent5"/>
          <w:lang w:val="fr-CA"/>
        </w:rPr>
        <w:t xml:space="preserve">reçues </w:t>
      </w:r>
      <w:r w:rsidR="00340260">
        <w:rPr>
          <w:lang w:val="fr-CA"/>
        </w:rPr>
        <w:t xml:space="preserve">de </w:t>
      </w:r>
      <w:r w:rsidR="003354BA" w:rsidRPr="00340260">
        <w:rPr>
          <w:color w:val="FFC000"/>
          <w:lang w:val="fr-CA"/>
        </w:rPr>
        <w:t>10/6</w:t>
      </w:r>
      <w:r w:rsidRPr="00340260">
        <w:rPr>
          <w:color w:val="FFC000"/>
          <w:lang w:val="fr-CA"/>
        </w:rPr>
        <w:t xml:space="preserve">/17 </w:t>
      </w:r>
      <w:r w:rsidR="00340260">
        <w:rPr>
          <w:lang w:val="fr-CA"/>
        </w:rPr>
        <w:t>à</w:t>
      </w:r>
      <w:r w:rsidR="00F10113" w:rsidRPr="00340260">
        <w:rPr>
          <w:lang w:val="fr-CA"/>
        </w:rPr>
        <w:t xml:space="preserve"> </w:t>
      </w:r>
      <w:r w:rsidRPr="00340260">
        <w:rPr>
          <w:lang w:val="fr-CA"/>
        </w:rPr>
        <w:t>31/3/18</w:t>
      </w:r>
    </w:p>
    <w:p w14:paraId="54F60924" w14:textId="3A7F00C3" w:rsidR="001C2D01" w:rsidRPr="00340260" w:rsidRDefault="003354BA" w:rsidP="00921532">
      <w:pPr>
        <w:rPr>
          <w:lang w:val="fr-CA"/>
        </w:rPr>
      </w:pPr>
      <w:r w:rsidRPr="00340260">
        <w:rPr>
          <w:lang w:val="fr-CA"/>
        </w:rPr>
        <w:t>35% (</w:t>
      </w:r>
      <w:r w:rsidR="001C2D01" w:rsidRPr="00340260">
        <w:rPr>
          <w:lang w:val="fr-CA"/>
        </w:rPr>
        <w:t>431</w:t>
      </w:r>
      <w:r w:rsidRPr="00340260">
        <w:rPr>
          <w:lang w:val="fr-CA"/>
        </w:rPr>
        <w:t>)</w:t>
      </w:r>
      <w:r w:rsidR="001C2D01" w:rsidRPr="00340260">
        <w:rPr>
          <w:lang w:val="fr-CA"/>
        </w:rPr>
        <w:t xml:space="preserve"> </w:t>
      </w:r>
      <w:r w:rsidR="00340260" w:rsidRPr="00340260">
        <w:rPr>
          <w:lang w:val="fr-CA"/>
        </w:rPr>
        <w:t>n’étaient pas administrés</w:t>
      </w:r>
    </w:p>
    <w:p w14:paraId="3A2DB1C1" w14:textId="69DAA7EC" w:rsidR="001C2D01" w:rsidRPr="00027DD6" w:rsidRDefault="003354BA" w:rsidP="00921532">
      <w:pPr>
        <w:rPr>
          <w:lang w:val="fr-CA"/>
        </w:rPr>
      </w:pPr>
      <w:r w:rsidRPr="00027DD6">
        <w:rPr>
          <w:color w:val="auto"/>
          <w:lang w:val="fr-CA"/>
        </w:rPr>
        <w:t>65%</w:t>
      </w:r>
      <w:r w:rsidRPr="00027DD6">
        <w:rPr>
          <w:color w:val="C00000"/>
          <w:lang w:val="fr-CA"/>
        </w:rPr>
        <w:t xml:space="preserve"> </w:t>
      </w:r>
      <w:r w:rsidRPr="00027DD6">
        <w:rPr>
          <w:color w:val="FF0000"/>
          <w:lang w:val="fr-CA"/>
        </w:rPr>
        <w:t>(</w:t>
      </w:r>
      <w:r w:rsidR="001C2D01" w:rsidRPr="00027DD6">
        <w:rPr>
          <w:color w:val="FF0000"/>
          <w:lang w:val="fr-CA"/>
        </w:rPr>
        <w:t>845</w:t>
      </w:r>
      <w:r w:rsidRPr="00027DD6">
        <w:rPr>
          <w:color w:val="FF0000"/>
          <w:lang w:val="fr-CA"/>
        </w:rPr>
        <w:t>)</w:t>
      </w:r>
      <w:r w:rsidR="001C2D01" w:rsidRPr="00027DD6">
        <w:rPr>
          <w:color w:val="FF0000"/>
          <w:lang w:val="fr-CA"/>
        </w:rPr>
        <w:t xml:space="preserve"> </w:t>
      </w:r>
      <w:proofErr w:type="gramStart"/>
      <w:r w:rsidR="001C2D01" w:rsidRPr="00027DD6">
        <w:rPr>
          <w:color w:val="FF0000"/>
          <w:lang w:val="fr-CA"/>
        </w:rPr>
        <w:t>euthanasi</w:t>
      </w:r>
      <w:r w:rsidR="00340260">
        <w:rPr>
          <w:color w:val="FF0000"/>
          <w:lang w:val="fr-CA"/>
        </w:rPr>
        <w:t>es</w:t>
      </w:r>
      <w:r w:rsidR="001C2D01" w:rsidRPr="00027DD6">
        <w:rPr>
          <w:lang w:val="fr-CA"/>
        </w:rPr>
        <w:t xml:space="preserve"> </w:t>
      </w:r>
      <w:r w:rsidR="00340260">
        <w:rPr>
          <w:lang w:val="fr-CA"/>
        </w:rPr>
        <w:t>administrés</w:t>
      </w:r>
      <w:proofErr w:type="gramEnd"/>
    </w:p>
    <w:p w14:paraId="56C862C2" w14:textId="16B77E0E" w:rsidR="001C2D01" w:rsidRPr="00027DD6" w:rsidRDefault="001C2D01" w:rsidP="001C2D01">
      <w:pPr>
        <w:pStyle w:val="ListParagraph"/>
        <w:numPr>
          <w:ilvl w:val="0"/>
          <w:numId w:val="2"/>
        </w:numPr>
        <w:rPr>
          <w:lang w:val="fr-CA"/>
        </w:rPr>
      </w:pPr>
      <w:r w:rsidRPr="00027DD6">
        <w:rPr>
          <w:lang w:val="fr-CA"/>
        </w:rPr>
        <w:t xml:space="preserve">805 </w:t>
      </w:r>
      <w:r w:rsidR="00340260">
        <w:rPr>
          <w:lang w:val="fr-CA"/>
        </w:rPr>
        <w:t>déclarés par des établissements</w:t>
      </w:r>
    </w:p>
    <w:p w14:paraId="37E4D3E3" w14:textId="7572880E" w:rsidR="001C2D01" w:rsidRPr="00027DD6" w:rsidRDefault="001C2D01" w:rsidP="001C2D01">
      <w:pPr>
        <w:pStyle w:val="ListParagraph"/>
        <w:numPr>
          <w:ilvl w:val="0"/>
          <w:numId w:val="2"/>
        </w:numPr>
        <w:rPr>
          <w:lang w:val="fr-CA"/>
        </w:rPr>
      </w:pPr>
      <w:r w:rsidRPr="00027DD6">
        <w:rPr>
          <w:lang w:val="fr-CA"/>
        </w:rPr>
        <w:t xml:space="preserve">40 </w:t>
      </w:r>
      <w:r w:rsidR="00340260">
        <w:rPr>
          <w:lang w:val="fr-CA"/>
        </w:rPr>
        <w:t xml:space="preserve">déclarés par le </w:t>
      </w:r>
      <w:r w:rsidRPr="00027DD6">
        <w:rPr>
          <w:lang w:val="fr-CA"/>
        </w:rPr>
        <w:t xml:space="preserve">CMQ </w:t>
      </w:r>
    </w:p>
    <w:p w14:paraId="6576FF52" w14:textId="56849E09" w:rsidR="001C2D01" w:rsidRPr="00027DD6" w:rsidRDefault="001C2D01" w:rsidP="001C2D01">
      <w:pPr>
        <w:rPr>
          <w:lang w:val="fr-CA"/>
        </w:rPr>
      </w:pPr>
    </w:p>
    <w:p w14:paraId="659DE707" w14:textId="57C60AA9" w:rsidR="007B353C" w:rsidRDefault="004A4270" w:rsidP="001C2D01">
      <w:pPr>
        <w:rPr>
          <w:color w:val="auto"/>
          <w:lang w:val="fr-CA"/>
        </w:rPr>
      </w:pPr>
      <w:r w:rsidRPr="00027DD6">
        <w:rPr>
          <w:color w:val="auto"/>
          <w:lang w:val="fr-CA"/>
        </w:rPr>
        <w:t xml:space="preserve">*431 + 845 = 1,276.  </w:t>
      </w:r>
      <w:r w:rsidR="007B353C" w:rsidRPr="007B353C">
        <w:rPr>
          <w:color w:val="auto"/>
          <w:lang w:val="fr-CA"/>
        </w:rPr>
        <w:t>Le rapport ne tient pas compte de la divergence de 51 cas</w:t>
      </w:r>
      <w:r w:rsidR="007B353C">
        <w:rPr>
          <w:color w:val="auto"/>
          <w:lang w:val="fr-CA"/>
        </w:rPr>
        <w:t>, entre 1</w:t>
      </w:r>
      <w:r w:rsidR="0091108B">
        <w:rPr>
          <w:color w:val="auto"/>
          <w:lang w:val="fr-CA"/>
        </w:rPr>
        <w:t xml:space="preserve"> </w:t>
      </w:r>
      <w:r w:rsidR="007B353C">
        <w:rPr>
          <w:color w:val="auto"/>
          <w:lang w:val="fr-CA"/>
        </w:rPr>
        <w:t>225 and 1</w:t>
      </w:r>
      <w:r w:rsidR="0091108B">
        <w:rPr>
          <w:color w:val="auto"/>
          <w:lang w:val="fr-CA"/>
        </w:rPr>
        <w:t xml:space="preserve"> </w:t>
      </w:r>
      <w:r w:rsidR="007B353C">
        <w:rPr>
          <w:color w:val="auto"/>
          <w:lang w:val="fr-CA"/>
        </w:rPr>
        <w:t>276</w:t>
      </w:r>
      <w:r w:rsidR="007B353C" w:rsidRPr="007B353C">
        <w:rPr>
          <w:color w:val="auto"/>
          <w:lang w:val="fr-CA"/>
        </w:rPr>
        <w:t xml:space="preserve">. Étant donné que le tableau des raisons pour lesquelles l’euthanasie n’a pas été administrée </w:t>
      </w:r>
      <w:r w:rsidR="007B353C">
        <w:rPr>
          <w:color w:val="auto"/>
          <w:lang w:val="fr-CA"/>
        </w:rPr>
        <w:t>donne</w:t>
      </w:r>
      <w:r w:rsidR="007B353C" w:rsidRPr="007B353C">
        <w:rPr>
          <w:color w:val="auto"/>
          <w:lang w:val="fr-CA"/>
        </w:rPr>
        <w:t xml:space="preserve"> 431, on ne peut que présumer que le chiffre 1 225 ou le chiffre 845 est erroné.</w:t>
      </w:r>
    </w:p>
    <w:p w14:paraId="699916F9" w14:textId="77777777" w:rsidR="004A4270" w:rsidRPr="00027DD6" w:rsidRDefault="004A4270" w:rsidP="001C2D01">
      <w:pPr>
        <w:rPr>
          <w:color w:val="auto"/>
          <w:lang w:val="fr-CA"/>
        </w:rPr>
      </w:pPr>
    </w:p>
    <w:p w14:paraId="43E8EC79" w14:textId="541384E3" w:rsidR="007B353C" w:rsidRDefault="007B353C" w:rsidP="001C2D01">
      <w:pPr>
        <w:rPr>
          <w:color w:val="auto"/>
          <w:lang w:val="fr-CA"/>
        </w:rPr>
      </w:pPr>
      <w:r w:rsidRPr="007B353C">
        <w:rPr>
          <w:color w:val="auto"/>
          <w:lang w:val="fr-CA"/>
        </w:rPr>
        <w:t xml:space="preserve">Plus inquiétant, cependant, </w:t>
      </w:r>
      <w:r w:rsidRPr="007B353C">
        <w:rPr>
          <w:color w:val="C00000"/>
          <w:lang w:val="fr-CA"/>
        </w:rPr>
        <w:t xml:space="preserve">le rapport aborde la différence entre </w:t>
      </w:r>
      <w:r w:rsidRPr="007B353C">
        <w:rPr>
          <w:b/>
          <w:color w:val="C00000"/>
          <w:lang w:val="fr-CA"/>
        </w:rPr>
        <w:t xml:space="preserve">708 </w:t>
      </w:r>
      <w:r>
        <w:rPr>
          <w:b/>
          <w:color w:val="C00000"/>
          <w:lang w:val="fr-CA"/>
        </w:rPr>
        <w:t xml:space="preserve">formulaires </w:t>
      </w:r>
      <w:r w:rsidRPr="007B353C">
        <w:rPr>
          <w:color w:val="C00000"/>
          <w:lang w:val="fr-CA"/>
        </w:rPr>
        <w:t>des médecins (dont cinq des années précédentes) et</w:t>
      </w:r>
      <w:r w:rsidRPr="007B353C">
        <w:rPr>
          <w:b/>
          <w:color w:val="C00000"/>
          <w:lang w:val="fr-CA"/>
        </w:rPr>
        <w:t xml:space="preserve"> 845 euthanasies</w:t>
      </w:r>
      <w:r w:rsidRPr="007B353C">
        <w:rPr>
          <w:color w:val="C00000"/>
          <w:lang w:val="fr-CA"/>
        </w:rPr>
        <w:t xml:space="preserve"> déclarées par le CMQ et des établissements </w:t>
      </w:r>
      <w:r w:rsidRPr="007B353C">
        <w:rPr>
          <w:b/>
          <w:color w:val="FF0000"/>
          <w:lang w:val="fr-CA"/>
        </w:rPr>
        <w:t>(137 décès au total)</w:t>
      </w:r>
      <w:r w:rsidRPr="007B353C">
        <w:rPr>
          <w:color w:val="FF0000"/>
          <w:lang w:val="fr-CA"/>
        </w:rPr>
        <w:t>.</w:t>
      </w:r>
      <w:r>
        <w:rPr>
          <w:color w:val="auto"/>
          <w:lang w:val="fr-CA"/>
        </w:rPr>
        <w:t xml:space="preserve"> </w:t>
      </w:r>
    </w:p>
    <w:p w14:paraId="31212B89" w14:textId="36CAC8D1" w:rsidR="003354BA" w:rsidRPr="0091108B" w:rsidRDefault="003354BA" w:rsidP="001C2D01">
      <w:pPr>
        <w:rPr>
          <w:color w:val="auto"/>
          <w:lang w:val="fr-CA"/>
        </w:rPr>
      </w:pPr>
    </w:p>
    <w:p w14:paraId="1C86D14B" w14:textId="18042A18" w:rsidR="003354BA" w:rsidRPr="007B353C" w:rsidRDefault="007B353C" w:rsidP="001C2D01">
      <w:pPr>
        <w:rPr>
          <w:color w:val="auto"/>
          <w:lang w:val="fr-CA"/>
        </w:rPr>
      </w:pPr>
      <w:r w:rsidRPr="007B353C">
        <w:rPr>
          <w:color w:val="auto"/>
          <w:lang w:val="fr-CA"/>
        </w:rPr>
        <w:t xml:space="preserve">Les raisons que l’euthanasie n’était pas </w:t>
      </w:r>
      <w:proofErr w:type="gramStart"/>
      <w:r>
        <w:rPr>
          <w:color w:val="auto"/>
          <w:lang w:val="fr-CA"/>
        </w:rPr>
        <w:t>administré</w:t>
      </w:r>
      <w:proofErr w:type="gramEnd"/>
      <w:r>
        <w:rPr>
          <w:color w:val="auto"/>
          <w:lang w:val="fr-CA"/>
        </w:rPr>
        <w:t> </w:t>
      </w:r>
      <w:r w:rsidR="003354BA" w:rsidRPr="007B353C">
        <w:rPr>
          <w:color w:val="auto"/>
          <w:lang w:val="fr-CA"/>
        </w:rPr>
        <w:t>:</w:t>
      </w:r>
    </w:p>
    <w:p w14:paraId="22D91FF2" w14:textId="2A732C5D" w:rsidR="007B353C" w:rsidRDefault="003354BA" w:rsidP="003354BA">
      <w:pPr>
        <w:pStyle w:val="ListParagraph"/>
        <w:numPr>
          <w:ilvl w:val="0"/>
          <w:numId w:val="2"/>
        </w:numPr>
        <w:rPr>
          <w:color w:val="auto"/>
          <w:lang w:val="fr-CA"/>
        </w:rPr>
      </w:pPr>
      <w:r w:rsidRPr="00027DD6">
        <w:rPr>
          <w:color w:val="auto"/>
          <w:lang w:val="fr-CA"/>
        </w:rPr>
        <w:t xml:space="preserve">37.6% (162) </w:t>
      </w:r>
      <w:r w:rsidR="007B353C">
        <w:rPr>
          <w:color w:val="auto"/>
          <w:lang w:val="fr-CA"/>
        </w:rPr>
        <w:t xml:space="preserve">personnes sont mort avant que la détermination d’admissibilité </w:t>
      </w:r>
      <w:proofErr w:type="gramStart"/>
      <w:r w:rsidR="007B353C">
        <w:rPr>
          <w:color w:val="auto"/>
          <w:lang w:val="fr-CA"/>
        </w:rPr>
        <w:t>a</w:t>
      </w:r>
      <w:proofErr w:type="gramEnd"/>
      <w:r w:rsidR="007B353C">
        <w:rPr>
          <w:color w:val="auto"/>
          <w:lang w:val="fr-CA"/>
        </w:rPr>
        <w:t xml:space="preserve"> été ach</w:t>
      </w:r>
      <w:r w:rsidR="008A5FBA">
        <w:rPr>
          <w:color w:val="auto"/>
          <w:lang w:val="fr-CA"/>
        </w:rPr>
        <w:t>e</w:t>
      </w:r>
      <w:r w:rsidR="007B353C">
        <w:rPr>
          <w:color w:val="auto"/>
          <w:lang w:val="fr-CA"/>
        </w:rPr>
        <w:t>vé ou l’euthanasie a été administré.</w:t>
      </w:r>
    </w:p>
    <w:p w14:paraId="261C9C37" w14:textId="0F807602" w:rsidR="007B353C" w:rsidRDefault="003354BA" w:rsidP="003354BA">
      <w:pPr>
        <w:pStyle w:val="ListParagraph"/>
        <w:numPr>
          <w:ilvl w:val="0"/>
          <w:numId w:val="2"/>
        </w:numPr>
        <w:rPr>
          <w:color w:val="auto"/>
          <w:lang w:val="fr-CA"/>
        </w:rPr>
      </w:pPr>
      <w:r w:rsidRPr="00027DD6">
        <w:rPr>
          <w:color w:val="auto"/>
          <w:lang w:val="fr-CA"/>
        </w:rPr>
        <w:t xml:space="preserve">36% (155) </w:t>
      </w:r>
      <w:r w:rsidR="007B353C">
        <w:rPr>
          <w:color w:val="auto"/>
          <w:lang w:val="fr-CA"/>
        </w:rPr>
        <w:t xml:space="preserve">personnes n’étaient pas </w:t>
      </w:r>
      <w:r w:rsidR="0091108B">
        <w:rPr>
          <w:color w:val="auto"/>
          <w:lang w:val="fr-CA"/>
        </w:rPr>
        <w:t>admissible</w:t>
      </w:r>
      <w:r w:rsidR="007B353C">
        <w:rPr>
          <w:color w:val="auto"/>
          <w:lang w:val="fr-CA"/>
        </w:rPr>
        <w:t>, ou devenaient in</w:t>
      </w:r>
      <w:r w:rsidR="0091108B">
        <w:rPr>
          <w:color w:val="auto"/>
          <w:lang w:val="fr-CA"/>
        </w:rPr>
        <w:t>éligible</w:t>
      </w:r>
    </w:p>
    <w:p w14:paraId="6D0F9CCC" w14:textId="2AB9F595" w:rsidR="0091108B" w:rsidRDefault="003354BA" w:rsidP="0091108B">
      <w:pPr>
        <w:pStyle w:val="ListParagraph"/>
        <w:numPr>
          <w:ilvl w:val="0"/>
          <w:numId w:val="2"/>
        </w:numPr>
        <w:tabs>
          <w:tab w:val="left" w:pos="9180"/>
        </w:tabs>
        <w:rPr>
          <w:color w:val="auto"/>
          <w:lang w:val="fr-CA"/>
        </w:rPr>
      </w:pPr>
      <w:r w:rsidRPr="00027DD6">
        <w:rPr>
          <w:color w:val="auto"/>
          <w:lang w:val="fr-CA"/>
        </w:rPr>
        <w:t xml:space="preserve">14% (61) </w:t>
      </w:r>
      <w:r w:rsidR="0091108B">
        <w:rPr>
          <w:color w:val="auto"/>
          <w:lang w:val="fr-CA"/>
        </w:rPr>
        <w:t>personnes ont retirés leur demande</w:t>
      </w:r>
    </w:p>
    <w:p w14:paraId="361184B5" w14:textId="4DF48F83" w:rsidR="0091108B" w:rsidRDefault="00CC3AC7" w:rsidP="0091108B">
      <w:pPr>
        <w:pStyle w:val="ListParagraph"/>
        <w:numPr>
          <w:ilvl w:val="0"/>
          <w:numId w:val="2"/>
        </w:numPr>
        <w:tabs>
          <w:tab w:val="left" w:pos="9180"/>
        </w:tabs>
        <w:rPr>
          <w:color w:val="auto"/>
          <w:lang w:val="fr-CA"/>
        </w:rPr>
      </w:pPr>
      <w:r w:rsidRPr="00027DD6">
        <w:rPr>
          <w:color w:val="auto"/>
          <w:lang w:val="fr-CA"/>
        </w:rPr>
        <w:t>6.3</w:t>
      </w:r>
      <w:r w:rsidR="00C47C9A" w:rsidRPr="00027DD6">
        <w:rPr>
          <w:color w:val="auto"/>
          <w:lang w:val="fr-CA"/>
        </w:rPr>
        <w:t>%</w:t>
      </w:r>
      <w:r w:rsidRPr="00027DD6">
        <w:rPr>
          <w:color w:val="auto"/>
          <w:lang w:val="fr-CA"/>
        </w:rPr>
        <w:t xml:space="preserve"> (</w:t>
      </w:r>
      <w:r w:rsidR="003354BA" w:rsidRPr="00027DD6">
        <w:rPr>
          <w:color w:val="auto"/>
          <w:lang w:val="fr-CA"/>
        </w:rPr>
        <w:t>27</w:t>
      </w:r>
      <w:r w:rsidRPr="00027DD6">
        <w:rPr>
          <w:color w:val="auto"/>
          <w:lang w:val="fr-CA"/>
        </w:rPr>
        <w:t>)</w:t>
      </w:r>
      <w:r w:rsidR="003354BA" w:rsidRPr="00027DD6">
        <w:rPr>
          <w:color w:val="auto"/>
          <w:lang w:val="fr-CA"/>
        </w:rPr>
        <w:t xml:space="preserve"> </w:t>
      </w:r>
      <w:r w:rsidR="0091108B">
        <w:rPr>
          <w:color w:val="auto"/>
          <w:lang w:val="fr-CA"/>
        </w:rPr>
        <w:t>personnes ont choisi d’autre traitement</w:t>
      </w:r>
    </w:p>
    <w:p w14:paraId="3689A93D" w14:textId="3A02D7CF" w:rsidR="0091108B" w:rsidRPr="0091108B" w:rsidRDefault="00CC3AC7" w:rsidP="0091108B">
      <w:pPr>
        <w:pStyle w:val="ListParagraph"/>
        <w:numPr>
          <w:ilvl w:val="0"/>
          <w:numId w:val="2"/>
        </w:numPr>
        <w:tabs>
          <w:tab w:val="left" w:pos="9180"/>
        </w:tabs>
        <w:rPr>
          <w:color w:val="auto"/>
          <w:lang w:val="fr-CA"/>
        </w:rPr>
      </w:pPr>
      <w:r w:rsidRPr="0091108B">
        <w:rPr>
          <w:color w:val="auto"/>
          <w:lang w:val="fr-CA"/>
        </w:rPr>
        <w:lastRenderedPageBreak/>
        <w:t>3.3</w:t>
      </w:r>
      <w:r w:rsidR="00C47C9A" w:rsidRPr="0091108B">
        <w:rPr>
          <w:color w:val="auto"/>
          <w:lang w:val="fr-CA"/>
        </w:rPr>
        <w:t>%</w:t>
      </w:r>
      <w:r w:rsidRPr="0091108B">
        <w:rPr>
          <w:color w:val="auto"/>
          <w:lang w:val="fr-CA"/>
        </w:rPr>
        <w:t xml:space="preserve"> (</w:t>
      </w:r>
      <w:r w:rsidR="003354BA" w:rsidRPr="0091108B">
        <w:rPr>
          <w:color w:val="auto"/>
          <w:lang w:val="fr-CA"/>
        </w:rPr>
        <w:t>14</w:t>
      </w:r>
      <w:r w:rsidRPr="0091108B">
        <w:rPr>
          <w:color w:val="auto"/>
          <w:lang w:val="fr-CA"/>
        </w:rPr>
        <w:t>)</w:t>
      </w:r>
      <w:r w:rsidR="003354BA" w:rsidRPr="0091108B">
        <w:rPr>
          <w:color w:val="auto"/>
          <w:lang w:val="fr-CA"/>
        </w:rPr>
        <w:t xml:space="preserve"> </w:t>
      </w:r>
      <w:r w:rsidR="0091108B">
        <w:rPr>
          <w:color w:val="auto"/>
          <w:lang w:val="fr-CA"/>
        </w:rPr>
        <w:t>l</w:t>
      </w:r>
      <w:r w:rsidR="0091108B" w:rsidRPr="0091108B">
        <w:rPr>
          <w:color w:val="auto"/>
          <w:lang w:val="fr-CA"/>
        </w:rPr>
        <w:t xml:space="preserve">a demande </w:t>
      </w:r>
      <w:proofErr w:type="spellStart"/>
      <w:r w:rsidR="0091108B" w:rsidRPr="0091108B">
        <w:rPr>
          <w:color w:val="auto"/>
          <w:lang w:val="fr-CA"/>
        </w:rPr>
        <w:t>était</w:t>
      </w:r>
      <w:proofErr w:type="spellEnd"/>
      <w:r w:rsidR="0091108B" w:rsidRPr="0091108B">
        <w:rPr>
          <w:color w:val="auto"/>
          <w:lang w:val="fr-CA"/>
        </w:rPr>
        <w:t xml:space="preserve"> en cours d’</w:t>
      </w:r>
      <w:proofErr w:type="spellStart"/>
      <w:r w:rsidR="0091108B" w:rsidRPr="0091108B">
        <w:rPr>
          <w:color w:val="auto"/>
          <w:lang w:val="fr-CA"/>
        </w:rPr>
        <w:t>évaluation</w:t>
      </w:r>
      <w:proofErr w:type="spellEnd"/>
      <w:r w:rsidR="0091108B" w:rsidRPr="0091108B">
        <w:rPr>
          <w:color w:val="auto"/>
          <w:lang w:val="fr-CA"/>
        </w:rPr>
        <w:t xml:space="preserve"> ou de processus. </w:t>
      </w:r>
    </w:p>
    <w:p w14:paraId="055CFA03" w14:textId="55919096" w:rsidR="003354BA" w:rsidRPr="00FD3A3B" w:rsidRDefault="00CC3AC7" w:rsidP="00FD3A3B">
      <w:pPr>
        <w:pStyle w:val="ListParagraph"/>
        <w:numPr>
          <w:ilvl w:val="0"/>
          <w:numId w:val="2"/>
        </w:numPr>
        <w:tabs>
          <w:tab w:val="left" w:pos="9180"/>
        </w:tabs>
        <w:rPr>
          <w:color w:val="auto"/>
          <w:lang w:val="fr-CA"/>
        </w:rPr>
      </w:pPr>
      <w:r w:rsidRPr="0091108B">
        <w:rPr>
          <w:color w:val="auto"/>
          <w:lang w:val="fr-CA"/>
        </w:rPr>
        <w:t>2.8</w:t>
      </w:r>
      <w:r w:rsidR="00C47C9A" w:rsidRPr="0091108B">
        <w:rPr>
          <w:color w:val="auto"/>
          <w:lang w:val="fr-CA"/>
        </w:rPr>
        <w:t>%</w:t>
      </w:r>
      <w:r w:rsidRPr="0091108B">
        <w:rPr>
          <w:color w:val="auto"/>
          <w:lang w:val="fr-CA"/>
        </w:rPr>
        <w:t xml:space="preserve"> (</w:t>
      </w:r>
      <w:r w:rsidR="003354BA" w:rsidRPr="0091108B">
        <w:rPr>
          <w:color w:val="auto"/>
          <w:lang w:val="fr-CA"/>
        </w:rPr>
        <w:t>12</w:t>
      </w:r>
      <w:r w:rsidRPr="0091108B">
        <w:rPr>
          <w:color w:val="auto"/>
          <w:lang w:val="fr-CA"/>
        </w:rPr>
        <w:t>)</w:t>
      </w:r>
      <w:r w:rsidR="003354BA" w:rsidRPr="0091108B">
        <w:rPr>
          <w:color w:val="auto"/>
          <w:lang w:val="fr-CA"/>
        </w:rPr>
        <w:t xml:space="preserve"> </w:t>
      </w:r>
      <w:r w:rsidR="0091108B">
        <w:rPr>
          <w:color w:val="auto"/>
          <w:lang w:val="fr-CA"/>
        </w:rPr>
        <w:t>personnes sont</w:t>
      </w:r>
      <w:r w:rsidR="0091108B" w:rsidRPr="0091108B">
        <w:rPr>
          <w:color w:val="auto"/>
          <w:lang w:val="fr-CA"/>
        </w:rPr>
        <w:t xml:space="preserve"> retourn</w:t>
      </w:r>
      <w:r w:rsidR="0091108B">
        <w:rPr>
          <w:color w:val="auto"/>
          <w:lang w:val="fr-CA"/>
        </w:rPr>
        <w:t>é</w:t>
      </w:r>
      <w:r w:rsidR="0091108B" w:rsidRPr="0091108B">
        <w:rPr>
          <w:color w:val="auto"/>
          <w:lang w:val="fr-CA"/>
        </w:rPr>
        <w:t>e</w:t>
      </w:r>
      <w:r w:rsidR="0091108B">
        <w:rPr>
          <w:color w:val="auto"/>
          <w:lang w:val="fr-CA"/>
        </w:rPr>
        <w:t>s</w:t>
      </w:r>
      <w:r w:rsidR="0091108B" w:rsidRPr="0091108B">
        <w:rPr>
          <w:color w:val="auto"/>
          <w:lang w:val="fr-CA"/>
        </w:rPr>
        <w:t xml:space="preserve"> à </w:t>
      </w:r>
      <w:r w:rsidR="0091108B">
        <w:rPr>
          <w:color w:val="auto"/>
          <w:lang w:val="fr-CA"/>
        </w:rPr>
        <w:t xml:space="preserve">leur </w:t>
      </w:r>
      <w:r w:rsidR="0091108B" w:rsidRPr="0091108B">
        <w:rPr>
          <w:color w:val="auto"/>
          <w:lang w:val="fr-CA"/>
        </w:rPr>
        <w:t xml:space="preserve">domicile ou </w:t>
      </w:r>
      <w:r w:rsidR="00FD3A3B">
        <w:rPr>
          <w:color w:val="auto"/>
          <w:lang w:val="fr-CA"/>
        </w:rPr>
        <w:t>ont</w:t>
      </w:r>
      <w:r w:rsidR="0091108B" w:rsidRPr="0091108B">
        <w:rPr>
          <w:color w:val="auto"/>
          <w:lang w:val="fr-CA"/>
        </w:rPr>
        <w:t xml:space="preserve"> </w:t>
      </w:r>
      <w:r w:rsidR="0091108B">
        <w:rPr>
          <w:color w:val="auto"/>
          <w:lang w:val="fr-CA"/>
        </w:rPr>
        <w:t>été</w:t>
      </w:r>
      <w:r w:rsidR="0091108B" w:rsidRPr="0091108B">
        <w:rPr>
          <w:color w:val="auto"/>
          <w:lang w:val="fr-CA"/>
        </w:rPr>
        <w:t xml:space="preserve"> transf</w:t>
      </w:r>
      <w:r w:rsidR="0091108B">
        <w:rPr>
          <w:color w:val="auto"/>
          <w:lang w:val="fr-CA"/>
        </w:rPr>
        <w:t>éré</w:t>
      </w:r>
      <w:r w:rsidR="0091108B" w:rsidRPr="0091108B">
        <w:rPr>
          <w:color w:val="auto"/>
          <w:lang w:val="fr-CA"/>
        </w:rPr>
        <w:t>e en maison de soins palliatifs ou dans un autre centre hospitalier.</w:t>
      </w:r>
    </w:p>
    <w:p w14:paraId="4A8ED630" w14:textId="07609226" w:rsidR="00593724" w:rsidRPr="00A078FD" w:rsidRDefault="00593724" w:rsidP="00593724">
      <w:pPr>
        <w:rPr>
          <w:color w:val="auto"/>
          <w:lang w:val="fr-CA"/>
        </w:rPr>
      </w:pPr>
    </w:p>
    <w:p w14:paraId="21920455" w14:textId="4491921E" w:rsidR="00E354E3" w:rsidRPr="0091108B" w:rsidRDefault="0091108B" w:rsidP="00593724">
      <w:pPr>
        <w:rPr>
          <w:color w:val="auto"/>
          <w:lang w:val="fr-CA"/>
        </w:rPr>
      </w:pPr>
      <w:r w:rsidRPr="0091108B">
        <w:rPr>
          <w:color w:val="auto"/>
          <w:lang w:val="fr-CA"/>
        </w:rPr>
        <w:t>L</w:t>
      </w:r>
      <w:r>
        <w:rPr>
          <w:color w:val="auto"/>
          <w:lang w:val="fr-CA"/>
        </w:rPr>
        <w:t xml:space="preserve">es auteurs </w:t>
      </w:r>
      <w:r w:rsidRPr="0091108B">
        <w:rPr>
          <w:color w:val="auto"/>
          <w:lang w:val="fr-CA"/>
        </w:rPr>
        <w:t>admet</w:t>
      </w:r>
      <w:r>
        <w:rPr>
          <w:color w:val="auto"/>
          <w:lang w:val="fr-CA"/>
        </w:rPr>
        <w:t>tent</w:t>
      </w:r>
      <w:r w:rsidRPr="0091108B">
        <w:rPr>
          <w:color w:val="auto"/>
          <w:lang w:val="fr-CA"/>
        </w:rPr>
        <w:t xml:space="preserve"> qu'il est impossible de dire combien de personnes reçoivent des services de soins </w:t>
      </w:r>
      <w:proofErr w:type="gramStart"/>
      <w:r w:rsidRPr="0091108B">
        <w:rPr>
          <w:color w:val="auto"/>
          <w:lang w:val="fr-CA"/>
        </w:rPr>
        <w:t>palliatifs.</w:t>
      </w:r>
      <w:r w:rsidR="00593724" w:rsidRPr="0091108B">
        <w:rPr>
          <w:color w:val="auto"/>
          <w:lang w:val="fr-CA"/>
        </w:rPr>
        <w:t>.</w:t>
      </w:r>
      <w:proofErr w:type="gramEnd"/>
      <w:r w:rsidR="00593724" w:rsidRPr="0091108B">
        <w:rPr>
          <w:color w:val="auto"/>
          <w:lang w:val="fr-CA"/>
        </w:rPr>
        <w:t xml:space="preserve"> </w:t>
      </w:r>
    </w:p>
    <w:p w14:paraId="4585DF84" w14:textId="11DEAE93" w:rsidR="00593724" w:rsidRPr="00027DD6" w:rsidRDefault="00E354E3" w:rsidP="00593724">
      <w:pPr>
        <w:rPr>
          <w:color w:val="auto"/>
          <w:lang w:val="fr-CA"/>
        </w:rPr>
      </w:pPr>
      <w:r w:rsidRPr="00027DD6">
        <w:rPr>
          <w:color w:val="auto"/>
          <w:lang w:val="fr-CA"/>
        </w:rPr>
        <w:t>« Considérant</w:t>
      </w:r>
      <w:r w:rsidR="00593724" w:rsidRPr="00027DD6">
        <w:rPr>
          <w:color w:val="auto"/>
          <w:lang w:val="fr-CA"/>
        </w:rPr>
        <w:t xml:space="preserve"> qu’il n’est pas possible actuellement d’identifier les personnes en fin de vie ayant </w:t>
      </w:r>
      <w:r w:rsidRPr="00027DD6">
        <w:rPr>
          <w:color w:val="auto"/>
          <w:lang w:val="fr-CA"/>
        </w:rPr>
        <w:t>reçu</w:t>
      </w:r>
      <w:r w:rsidR="00593724" w:rsidRPr="00027DD6">
        <w:rPr>
          <w:color w:val="auto"/>
          <w:lang w:val="fr-CA"/>
        </w:rPr>
        <w:t xml:space="preserve"> des soins palliatifs, le MSSS a </w:t>
      </w:r>
      <w:r w:rsidRPr="00027DD6">
        <w:rPr>
          <w:color w:val="auto"/>
          <w:lang w:val="fr-CA"/>
        </w:rPr>
        <w:t>précisé</w:t>
      </w:r>
      <w:r w:rsidR="00593724" w:rsidRPr="00027DD6">
        <w:rPr>
          <w:color w:val="auto"/>
          <w:lang w:val="fr-CA"/>
        </w:rPr>
        <w:t xml:space="preserve"> au </w:t>
      </w:r>
      <w:r w:rsidRPr="00027DD6">
        <w:rPr>
          <w:color w:val="auto"/>
          <w:lang w:val="fr-CA"/>
        </w:rPr>
        <w:t>réseau</w:t>
      </w:r>
      <w:r w:rsidR="00593724" w:rsidRPr="00027DD6">
        <w:rPr>
          <w:color w:val="auto"/>
          <w:lang w:val="fr-CA"/>
        </w:rPr>
        <w:t xml:space="preserve"> que l’information </w:t>
      </w:r>
      <w:r w:rsidRPr="00027DD6">
        <w:rPr>
          <w:color w:val="auto"/>
          <w:lang w:val="fr-CA"/>
        </w:rPr>
        <w:t>demandée</w:t>
      </w:r>
      <w:r w:rsidR="00593724" w:rsidRPr="00027DD6">
        <w:rPr>
          <w:color w:val="auto"/>
          <w:lang w:val="fr-CA"/>
        </w:rPr>
        <w:t xml:space="preserve">, obtenue à partir des banques de </w:t>
      </w:r>
      <w:r w:rsidRPr="00027DD6">
        <w:rPr>
          <w:color w:val="auto"/>
          <w:lang w:val="fr-CA"/>
        </w:rPr>
        <w:t>données</w:t>
      </w:r>
      <w:r w:rsidR="00593724" w:rsidRPr="00027DD6">
        <w:rPr>
          <w:color w:val="auto"/>
          <w:lang w:val="fr-CA"/>
        </w:rPr>
        <w:t xml:space="preserve"> nationales, est le nombre de personnes en soins palliatifs et de fin de vie par milieu de soin.</w:t>
      </w:r>
      <w:r w:rsidRPr="00027DD6">
        <w:rPr>
          <w:color w:val="auto"/>
          <w:lang w:val="fr-CA"/>
        </w:rPr>
        <w:t> »</w:t>
      </w:r>
    </w:p>
    <w:p w14:paraId="0424FA56" w14:textId="5D38D273" w:rsidR="00CC3AC7" w:rsidRPr="00027DD6" w:rsidRDefault="00CC3AC7" w:rsidP="00CC3AC7">
      <w:pPr>
        <w:rPr>
          <w:color w:val="auto"/>
          <w:lang w:val="fr-CA"/>
        </w:rPr>
      </w:pPr>
    </w:p>
    <w:p w14:paraId="3F1BFEF8" w14:textId="222C2F63" w:rsidR="00CC3AC7" w:rsidRPr="00027DD6" w:rsidRDefault="0004688B" w:rsidP="00CC3AC7">
      <w:pPr>
        <w:rPr>
          <w:b/>
          <w:color w:val="7030A0"/>
          <w:lang w:val="fr-CA"/>
        </w:rPr>
      </w:pPr>
      <w:r w:rsidRPr="00027DD6">
        <w:rPr>
          <w:b/>
          <w:color w:val="7030A0"/>
          <w:lang w:val="fr-CA"/>
        </w:rPr>
        <w:t>S</w:t>
      </w:r>
      <w:r w:rsidR="00CC3AC7" w:rsidRPr="00027DD6">
        <w:rPr>
          <w:b/>
          <w:color w:val="7030A0"/>
          <w:lang w:val="fr-CA"/>
        </w:rPr>
        <w:t>tatisti</w:t>
      </w:r>
      <w:r>
        <w:rPr>
          <w:b/>
          <w:color w:val="7030A0"/>
          <w:lang w:val="fr-CA"/>
        </w:rPr>
        <w:t>que</w:t>
      </w:r>
      <w:r w:rsidR="00CC3AC7" w:rsidRPr="00027DD6">
        <w:rPr>
          <w:b/>
          <w:color w:val="7030A0"/>
          <w:lang w:val="fr-CA"/>
        </w:rPr>
        <w:t>s</w:t>
      </w:r>
      <w:r>
        <w:rPr>
          <w:b/>
          <w:color w:val="7030A0"/>
          <w:lang w:val="fr-CA"/>
        </w:rPr>
        <w:t xml:space="preserve"> </w:t>
      </w:r>
      <w:r w:rsidRPr="00027DD6">
        <w:rPr>
          <w:b/>
          <w:color w:val="7030A0"/>
          <w:lang w:val="fr-CA"/>
        </w:rPr>
        <w:t>Cumulative</w:t>
      </w:r>
      <w:r>
        <w:rPr>
          <w:b/>
          <w:color w:val="7030A0"/>
          <w:lang w:val="fr-CA"/>
        </w:rPr>
        <w:t>s</w:t>
      </w:r>
    </w:p>
    <w:p w14:paraId="3011334E" w14:textId="65AEC774" w:rsidR="00CC3AC7" w:rsidRPr="00027DD6" w:rsidRDefault="00CC3AC7" w:rsidP="00CC3AC7">
      <w:pPr>
        <w:rPr>
          <w:color w:val="7030A0"/>
          <w:lang w:val="fr-CA"/>
        </w:rPr>
      </w:pPr>
      <w:r w:rsidRPr="00027DD6">
        <w:rPr>
          <w:color w:val="7030A0"/>
          <w:lang w:val="fr-CA"/>
        </w:rPr>
        <w:t>10</w:t>
      </w:r>
      <w:r w:rsidR="0004688B">
        <w:rPr>
          <w:color w:val="7030A0"/>
          <w:lang w:val="fr-CA"/>
        </w:rPr>
        <w:t xml:space="preserve"> décembre</w:t>
      </w:r>
      <w:r w:rsidRPr="00027DD6">
        <w:rPr>
          <w:color w:val="7030A0"/>
          <w:lang w:val="fr-CA"/>
        </w:rPr>
        <w:t xml:space="preserve"> 2015- 31</w:t>
      </w:r>
      <w:r w:rsidR="0004688B">
        <w:rPr>
          <w:color w:val="7030A0"/>
          <w:lang w:val="fr-CA"/>
        </w:rPr>
        <w:t xml:space="preserve"> mars</w:t>
      </w:r>
      <w:r w:rsidRPr="00027DD6">
        <w:rPr>
          <w:color w:val="7030A0"/>
          <w:lang w:val="fr-CA"/>
        </w:rPr>
        <w:t xml:space="preserve"> 2018</w:t>
      </w:r>
    </w:p>
    <w:p w14:paraId="67EE616A" w14:textId="54D7B912" w:rsidR="00CC3AC7" w:rsidRPr="00027DD6" w:rsidRDefault="00CC3AC7" w:rsidP="00CC3AC7">
      <w:pPr>
        <w:rPr>
          <w:color w:val="auto"/>
          <w:lang w:val="fr-CA"/>
        </w:rPr>
      </w:pPr>
    </w:p>
    <w:p w14:paraId="268FB723" w14:textId="4E671441" w:rsidR="00CC3AC7" w:rsidRPr="00027DD6" w:rsidRDefault="0004688B" w:rsidP="00CC3AC7">
      <w:pPr>
        <w:rPr>
          <w:lang w:val="fr-CA"/>
        </w:rPr>
      </w:pPr>
      <w:r>
        <w:rPr>
          <w:lang w:val="fr-CA"/>
        </w:rPr>
        <w:t>FORMULAIRES DE DÉCLARATION D’EUTHANASIE PROVENANT DES MÉDECINS</w:t>
      </w:r>
    </w:p>
    <w:p w14:paraId="5B03A9B4" w14:textId="3692451E" w:rsidR="00CC3AC7" w:rsidRPr="00027DD6" w:rsidRDefault="00CC3AC7" w:rsidP="00CC3AC7">
      <w:pPr>
        <w:rPr>
          <w:lang w:val="fr-CA"/>
        </w:rPr>
      </w:pPr>
    </w:p>
    <w:p w14:paraId="24726ADD" w14:textId="2C72E117" w:rsidR="00CC3AC7" w:rsidRPr="00027DD6" w:rsidRDefault="00CC3AC7" w:rsidP="00CC3AC7">
      <w:pPr>
        <w:rPr>
          <w:lang w:val="fr-CA"/>
        </w:rPr>
      </w:pPr>
      <w:r w:rsidRPr="00027DD6">
        <w:rPr>
          <w:color w:val="FF0000"/>
          <w:lang w:val="fr-CA"/>
        </w:rPr>
        <w:t xml:space="preserve">1,493 </w:t>
      </w:r>
      <w:r w:rsidR="00027DD6">
        <w:rPr>
          <w:color w:val="FF0000"/>
          <w:lang w:val="fr-CA"/>
        </w:rPr>
        <w:t>formulaires</w:t>
      </w:r>
      <w:r w:rsidRPr="00027DD6">
        <w:rPr>
          <w:color w:val="FF0000"/>
          <w:lang w:val="fr-CA"/>
        </w:rPr>
        <w:t xml:space="preserve"> </w:t>
      </w:r>
      <w:r w:rsidR="00027DD6">
        <w:rPr>
          <w:i/>
          <w:color w:val="0070C0"/>
          <w:lang w:val="fr-CA"/>
        </w:rPr>
        <w:t>reçu</w:t>
      </w:r>
      <w:r w:rsidRPr="00027DD6">
        <w:rPr>
          <w:color w:val="0070C0"/>
          <w:lang w:val="fr-CA"/>
        </w:rPr>
        <w:t xml:space="preserve"> </w:t>
      </w:r>
      <w:r w:rsidR="0004688B">
        <w:rPr>
          <w:lang w:val="fr-CA"/>
        </w:rPr>
        <w:t>de 1</w:t>
      </w:r>
      <w:r w:rsidR="007B373F" w:rsidRPr="00027DD6">
        <w:rPr>
          <w:lang w:val="fr-CA"/>
        </w:rPr>
        <w:t>0/12</w:t>
      </w:r>
      <w:r w:rsidRPr="00027DD6">
        <w:rPr>
          <w:lang w:val="fr-CA"/>
        </w:rPr>
        <w:t>/1</w:t>
      </w:r>
      <w:r w:rsidR="007B373F" w:rsidRPr="00027DD6">
        <w:rPr>
          <w:lang w:val="fr-CA"/>
        </w:rPr>
        <w:t>5</w:t>
      </w:r>
      <w:r w:rsidRPr="00027DD6">
        <w:rPr>
          <w:lang w:val="fr-CA"/>
        </w:rPr>
        <w:t xml:space="preserve"> </w:t>
      </w:r>
      <w:r w:rsidR="0004688B">
        <w:rPr>
          <w:lang w:val="fr-CA"/>
        </w:rPr>
        <w:t xml:space="preserve">à </w:t>
      </w:r>
      <w:r w:rsidRPr="00027DD6">
        <w:rPr>
          <w:lang w:val="fr-CA"/>
        </w:rPr>
        <w:t>31/3/18</w:t>
      </w:r>
    </w:p>
    <w:p w14:paraId="4233E2FD" w14:textId="77777777" w:rsidR="0004688B" w:rsidRPr="0004688B" w:rsidRDefault="0004688B" w:rsidP="0004688B">
      <w:pPr>
        <w:pStyle w:val="ListParagraph"/>
        <w:numPr>
          <w:ilvl w:val="0"/>
          <w:numId w:val="2"/>
        </w:numPr>
        <w:rPr>
          <w:lang w:val="fr-CA"/>
        </w:rPr>
      </w:pPr>
      <w:r w:rsidRPr="0004688B">
        <w:rPr>
          <w:lang w:val="fr-CA"/>
        </w:rPr>
        <w:t>161 - 1re période (12/15 à 6/16)</w:t>
      </w:r>
    </w:p>
    <w:p w14:paraId="5B97D069" w14:textId="77777777" w:rsidR="0004688B" w:rsidRPr="0004688B" w:rsidRDefault="0004688B" w:rsidP="0004688B">
      <w:pPr>
        <w:pStyle w:val="ListParagraph"/>
        <w:numPr>
          <w:ilvl w:val="0"/>
          <w:numId w:val="2"/>
        </w:numPr>
        <w:rPr>
          <w:lang w:val="fr-CA"/>
        </w:rPr>
      </w:pPr>
      <w:r w:rsidRPr="0004688B">
        <w:rPr>
          <w:lang w:val="fr-CA"/>
        </w:rPr>
        <w:t>280 - 2e période (7/16 à 12/16)</w:t>
      </w:r>
    </w:p>
    <w:p w14:paraId="6A233771" w14:textId="77777777" w:rsidR="0004688B" w:rsidRPr="0004688B" w:rsidRDefault="0004688B" w:rsidP="0004688B">
      <w:pPr>
        <w:pStyle w:val="ListParagraph"/>
        <w:numPr>
          <w:ilvl w:val="0"/>
          <w:numId w:val="2"/>
        </w:numPr>
        <w:rPr>
          <w:lang w:val="fr-CA"/>
        </w:rPr>
      </w:pPr>
      <w:r w:rsidRPr="0004688B">
        <w:rPr>
          <w:lang w:val="fr-CA"/>
        </w:rPr>
        <w:t>344 - 3e période (1/17 à 6/17)</w:t>
      </w:r>
    </w:p>
    <w:p w14:paraId="6412C815" w14:textId="77777777" w:rsidR="0004688B" w:rsidRPr="0004688B" w:rsidRDefault="0004688B" w:rsidP="0004688B">
      <w:pPr>
        <w:pStyle w:val="ListParagraph"/>
        <w:numPr>
          <w:ilvl w:val="0"/>
          <w:numId w:val="2"/>
        </w:numPr>
        <w:rPr>
          <w:lang w:val="fr-CA"/>
        </w:rPr>
      </w:pPr>
      <w:r w:rsidRPr="0004688B">
        <w:rPr>
          <w:lang w:val="fr-CA"/>
        </w:rPr>
        <w:t>437 - 4e période (7/17 à 12/17)</w:t>
      </w:r>
    </w:p>
    <w:p w14:paraId="4A70DF64" w14:textId="746ADD71" w:rsidR="007B373F" w:rsidRPr="0004688B" w:rsidRDefault="0004688B" w:rsidP="0004688B">
      <w:pPr>
        <w:pStyle w:val="ListParagraph"/>
        <w:numPr>
          <w:ilvl w:val="0"/>
          <w:numId w:val="2"/>
        </w:numPr>
        <w:rPr>
          <w:lang w:val="fr-CA"/>
        </w:rPr>
      </w:pPr>
      <w:r w:rsidRPr="0004688B">
        <w:rPr>
          <w:lang w:val="fr-CA"/>
        </w:rPr>
        <w:t>542 - 5e période (1/18-6/18) (estimation basée sur 271 de 1/18 à 3/18)</w:t>
      </w:r>
    </w:p>
    <w:p w14:paraId="72E3C1D3" w14:textId="189FD9BA" w:rsidR="00CC3AC7" w:rsidRPr="00027DD6" w:rsidRDefault="00CC3AC7" w:rsidP="00CC3AC7">
      <w:pPr>
        <w:rPr>
          <w:color w:val="auto"/>
          <w:lang w:val="fr-CA"/>
        </w:rPr>
      </w:pPr>
    </w:p>
    <w:p w14:paraId="7ACBDC2E" w14:textId="629DB300" w:rsidR="002D39A5" w:rsidRPr="0004688B" w:rsidRDefault="00003827" w:rsidP="002D39A5">
      <w:pPr>
        <w:rPr>
          <w:lang w:val="fr-CA"/>
        </w:rPr>
      </w:pPr>
      <w:r w:rsidRPr="0004688B">
        <w:rPr>
          <w:lang w:val="fr-CA"/>
        </w:rPr>
        <w:t>1,443</w:t>
      </w:r>
      <w:r w:rsidR="002D39A5" w:rsidRPr="0004688B">
        <w:rPr>
          <w:lang w:val="fr-CA"/>
        </w:rPr>
        <w:t xml:space="preserve"> </w:t>
      </w:r>
      <w:r w:rsidR="00027DD6" w:rsidRPr="0004688B">
        <w:rPr>
          <w:lang w:val="fr-CA"/>
        </w:rPr>
        <w:t>formulaires</w:t>
      </w:r>
      <w:r w:rsidRPr="0004688B">
        <w:rPr>
          <w:lang w:val="fr-CA"/>
        </w:rPr>
        <w:t xml:space="preserve"> </w:t>
      </w:r>
      <w:r w:rsidR="0004688B">
        <w:rPr>
          <w:lang w:val="fr-CA"/>
        </w:rPr>
        <w:t>étaient</w:t>
      </w:r>
      <w:r w:rsidR="0004688B" w:rsidRPr="00027DD6">
        <w:rPr>
          <w:lang w:val="fr-CA"/>
        </w:rPr>
        <w:t xml:space="preserve"> </w:t>
      </w:r>
      <w:proofErr w:type="gramStart"/>
      <w:r w:rsidR="0004688B" w:rsidRPr="00027DD6">
        <w:rPr>
          <w:i/>
          <w:color w:val="0070C0"/>
          <w:lang w:val="fr-CA"/>
        </w:rPr>
        <w:t>examin</w:t>
      </w:r>
      <w:r w:rsidR="0004688B">
        <w:rPr>
          <w:i/>
          <w:color w:val="0070C0"/>
          <w:lang w:val="fr-CA"/>
        </w:rPr>
        <w:t>é</w:t>
      </w:r>
      <w:proofErr w:type="gramEnd"/>
      <w:r w:rsidR="0004688B" w:rsidRPr="00027DD6">
        <w:rPr>
          <w:color w:val="0070C0"/>
          <w:lang w:val="fr-CA"/>
        </w:rPr>
        <w:t xml:space="preserve"> </w:t>
      </w:r>
      <w:r w:rsidR="0004688B">
        <w:rPr>
          <w:lang w:val="fr-CA"/>
        </w:rPr>
        <w:t xml:space="preserve">de </w:t>
      </w:r>
      <w:r w:rsidRPr="0004688B">
        <w:rPr>
          <w:lang w:val="fr-CA"/>
        </w:rPr>
        <w:t>10/</w:t>
      </w:r>
      <w:r w:rsidR="0004688B">
        <w:rPr>
          <w:lang w:val="fr-CA"/>
        </w:rPr>
        <w:t>12/</w:t>
      </w:r>
      <w:r w:rsidRPr="0004688B">
        <w:rPr>
          <w:lang w:val="fr-CA"/>
        </w:rPr>
        <w:t>15</w:t>
      </w:r>
      <w:r w:rsidR="002D39A5" w:rsidRPr="0004688B">
        <w:rPr>
          <w:lang w:val="fr-CA"/>
        </w:rPr>
        <w:t xml:space="preserve"> </w:t>
      </w:r>
      <w:r w:rsidR="0004688B">
        <w:rPr>
          <w:lang w:val="fr-CA"/>
        </w:rPr>
        <w:t>à</w:t>
      </w:r>
      <w:r w:rsidR="002D39A5" w:rsidRPr="0004688B">
        <w:rPr>
          <w:lang w:val="fr-CA"/>
        </w:rPr>
        <w:t xml:space="preserve"> 31/3/18</w:t>
      </w:r>
    </w:p>
    <w:p w14:paraId="73D77D19" w14:textId="77777777" w:rsidR="002D39A5" w:rsidRPr="0004688B" w:rsidRDefault="002D39A5" w:rsidP="00CC3AC7">
      <w:pPr>
        <w:rPr>
          <w:lang w:val="fr-CA"/>
        </w:rPr>
      </w:pPr>
    </w:p>
    <w:p w14:paraId="47707A8E" w14:textId="58820CFA" w:rsidR="007B373F" w:rsidRPr="00027DD6" w:rsidRDefault="002D39A5" w:rsidP="00CC3AC7">
      <w:pPr>
        <w:rPr>
          <w:color w:val="auto"/>
          <w:lang w:val="fr-CA"/>
        </w:rPr>
      </w:pPr>
      <w:r w:rsidRPr="00027DD6">
        <w:rPr>
          <w:lang w:val="fr-CA"/>
        </w:rPr>
        <w:t xml:space="preserve">1,374 </w:t>
      </w:r>
      <w:r w:rsidR="0004688B">
        <w:rPr>
          <w:i/>
          <w:color w:val="0070C0"/>
          <w:lang w:val="fr-CA"/>
        </w:rPr>
        <w:t xml:space="preserve">décisions </w:t>
      </w:r>
      <w:r w:rsidR="0004688B" w:rsidRPr="00885582">
        <w:rPr>
          <w:color w:val="auto"/>
          <w:lang w:val="fr-CA"/>
        </w:rPr>
        <w:t>ont</w:t>
      </w:r>
      <w:r w:rsidR="0004688B">
        <w:rPr>
          <w:color w:val="auto"/>
          <w:lang w:val="fr-CA"/>
        </w:rPr>
        <w:t xml:space="preserve"> été rendues de</w:t>
      </w:r>
      <w:r w:rsidR="0004688B">
        <w:rPr>
          <w:i/>
          <w:color w:val="auto"/>
          <w:lang w:val="fr-CA"/>
        </w:rPr>
        <w:t xml:space="preserve"> </w:t>
      </w:r>
      <w:r w:rsidR="00003827" w:rsidRPr="00027DD6">
        <w:rPr>
          <w:color w:val="auto"/>
          <w:lang w:val="fr-CA"/>
        </w:rPr>
        <w:t>10/</w:t>
      </w:r>
      <w:r w:rsidR="0004688B" w:rsidRPr="00027DD6">
        <w:rPr>
          <w:color w:val="auto"/>
          <w:lang w:val="fr-CA"/>
        </w:rPr>
        <w:t>12/</w:t>
      </w:r>
      <w:r w:rsidR="00003827" w:rsidRPr="00027DD6">
        <w:rPr>
          <w:color w:val="auto"/>
          <w:lang w:val="fr-CA"/>
        </w:rPr>
        <w:t xml:space="preserve">15 </w:t>
      </w:r>
      <w:r w:rsidR="0004688B">
        <w:rPr>
          <w:color w:val="auto"/>
          <w:lang w:val="fr-CA"/>
        </w:rPr>
        <w:t>à</w:t>
      </w:r>
      <w:r w:rsidR="00003827" w:rsidRPr="00027DD6">
        <w:rPr>
          <w:color w:val="auto"/>
          <w:lang w:val="fr-CA"/>
        </w:rPr>
        <w:t xml:space="preserve"> 31/3/18</w:t>
      </w:r>
    </w:p>
    <w:p w14:paraId="4F3CA620" w14:textId="47BD0019" w:rsidR="00003827" w:rsidRPr="00027DD6" w:rsidRDefault="00003827" w:rsidP="00003827">
      <w:pPr>
        <w:pStyle w:val="ListParagraph"/>
        <w:numPr>
          <w:ilvl w:val="0"/>
          <w:numId w:val="2"/>
        </w:numPr>
        <w:rPr>
          <w:color w:val="auto"/>
          <w:lang w:val="fr-CA"/>
        </w:rPr>
      </w:pPr>
      <w:r w:rsidRPr="00027DD6">
        <w:rPr>
          <w:color w:val="auto"/>
          <w:lang w:val="fr-CA"/>
        </w:rPr>
        <w:t xml:space="preserve">793 – </w:t>
      </w:r>
      <w:r w:rsidR="00A670B0" w:rsidRPr="00A670B0">
        <w:rPr>
          <w:color w:val="auto"/>
          <w:lang w:val="fr-CA"/>
        </w:rPr>
        <w:t>Aucune information supplémentaire requise</w:t>
      </w:r>
    </w:p>
    <w:p w14:paraId="52AD1FE3" w14:textId="60427A3F" w:rsidR="00003827" w:rsidRPr="00A670B0" w:rsidRDefault="00003827" w:rsidP="00003827">
      <w:pPr>
        <w:pStyle w:val="ListParagraph"/>
        <w:numPr>
          <w:ilvl w:val="0"/>
          <w:numId w:val="2"/>
        </w:numPr>
        <w:rPr>
          <w:color w:val="auto"/>
          <w:lang w:val="fr-CA"/>
        </w:rPr>
      </w:pPr>
      <w:r w:rsidRPr="00A670B0">
        <w:rPr>
          <w:color w:val="auto"/>
          <w:lang w:val="fr-CA"/>
        </w:rPr>
        <w:t xml:space="preserve">581 – </w:t>
      </w:r>
      <w:r w:rsidR="00A670B0" w:rsidRPr="00A670B0">
        <w:rPr>
          <w:color w:val="auto"/>
          <w:lang w:val="fr-CA"/>
        </w:rPr>
        <w:t>Plus d'informations étaient nécessaires pour rendre une décision</w:t>
      </w:r>
    </w:p>
    <w:p w14:paraId="57B598B4" w14:textId="7F183381" w:rsidR="00003827" w:rsidRPr="00A670B0" w:rsidRDefault="00003827" w:rsidP="00003827">
      <w:pPr>
        <w:rPr>
          <w:color w:val="auto"/>
          <w:lang w:val="fr-CA"/>
        </w:rPr>
      </w:pPr>
    </w:p>
    <w:p w14:paraId="70DCA3FD" w14:textId="667E0A48" w:rsidR="00147575" w:rsidRPr="00027DD6" w:rsidRDefault="00A670B0" w:rsidP="00003827">
      <w:pPr>
        <w:rPr>
          <w:lang w:val="fr-CA"/>
        </w:rPr>
      </w:pPr>
      <w:proofErr w:type="gramStart"/>
      <w:r>
        <w:rPr>
          <w:lang w:val="fr-CA"/>
        </w:rPr>
        <w:t>de</w:t>
      </w:r>
      <w:proofErr w:type="gramEnd"/>
      <w:r w:rsidR="00147575" w:rsidRPr="00027DD6">
        <w:rPr>
          <w:lang w:val="fr-CA"/>
        </w:rPr>
        <w:t xml:space="preserve"> </w:t>
      </w:r>
      <w:r w:rsidR="00147575" w:rsidRPr="00027DD6">
        <w:rPr>
          <w:color w:val="0070C0"/>
          <w:lang w:val="fr-CA"/>
        </w:rPr>
        <w:t xml:space="preserve">1,374 </w:t>
      </w:r>
      <w:r>
        <w:rPr>
          <w:color w:val="0070C0"/>
          <w:lang w:val="fr-CA"/>
        </w:rPr>
        <w:t>décisions rendues</w:t>
      </w:r>
    </w:p>
    <w:p w14:paraId="2A72BFB9" w14:textId="12497895" w:rsidR="00003827" w:rsidRPr="00027DD6" w:rsidRDefault="00003827" w:rsidP="00003827">
      <w:pPr>
        <w:rPr>
          <w:lang w:val="fr-CA"/>
        </w:rPr>
      </w:pPr>
      <w:r w:rsidRPr="00027DD6">
        <w:rPr>
          <w:lang w:val="fr-CA"/>
        </w:rPr>
        <w:t xml:space="preserve">90% (1,245 </w:t>
      </w:r>
      <w:r w:rsidR="00137BCA">
        <w:rPr>
          <w:lang w:val="fr-CA"/>
        </w:rPr>
        <w:t>cas</w:t>
      </w:r>
      <w:r w:rsidRPr="00027DD6">
        <w:rPr>
          <w:lang w:val="fr-CA"/>
        </w:rPr>
        <w:t xml:space="preserve">) </w:t>
      </w:r>
      <w:r w:rsidR="00A670B0">
        <w:rPr>
          <w:color w:val="00B050"/>
          <w:lang w:val="fr-CA"/>
        </w:rPr>
        <w:t>le processus était conforme aux exigences</w:t>
      </w:r>
    </w:p>
    <w:p w14:paraId="0F31D814" w14:textId="4B570D2B" w:rsidR="00003827" w:rsidRPr="00027DD6" w:rsidRDefault="00147575" w:rsidP="00003827">
      <w:pPr>
        <w:rPr>
          <w:lang w:val="fr-CA"/>
        </w:rPr>
      </w:pPr>
      <w:r w:rsidRPr="00027DD6">
        <w:rPr>
          <w:lang w:val="fr-CA"/>
        </w:rPr>
        <w:t>4.8</w:t>
      </w:r>
      <w:r w:rsidR="00003827" w:rsidRPr="00027DD6">
        <w:rPr>
          <w:lang w:val="fr-CA"/>
        </w:rPr>
        <w:t xml:space="preserve">% (67 </w:t>
      </w:r>
      <w:r w:rsidR="00137BCA">
        <w:rPr>
          <w:lang w:val="fr-CA"/>
        </w:rPr>
        <w:t>cas</w:t>
      </w:r>
      <w:r w:rsidR="00003827" w:rsidRPr="00027DD6">
        <w:rPr>
          <w:lang w:val="fr-CA"/>
        </w:rPr>
        <w:t xml:space="preserve">) </w:t>
      </w:r>
      <w:r w:rsidR="0004688B">
        <w:rPr>
          <w:color w:val="FFC000"/>
          <w:lang w:val="fr-CA"/>
        </w:rPr>
        <w:t>La Commission n’a pas pu conclure sur le respecte de la loi</w:t>
      </w:r>
    </w:p>
    <w:p w14:paraId="5E7CC7AF" w14:textId="6FFDD477" w:rsidR="00003827" w:rsidRPr="00027DD6" w:rsidRDefault="00147575" w:rsidP="00003827">
      <w:pPr>
        <w:rPr>
          <w:b/>
          <w:color w:val="C00000"/>
          <w:lang w:val="fr-CA"/>
        </w:rPr>
      </w:pPr>
      <w:r w:rsidRPr="00027DD6">
        <w:rPr>
          <w:color w:val="auto"/>
          <w:lang w:val="fr-CA"/>
        </w:rPr>
        <w:t xml:space="preserve">4.5% (62 </w:t>
      </w:r>
      <w:r w:rsidR="00137BCA">
        <w:rPr>
          <w:color w:val="auto"/>
          <w:lang w:val="fr-CA"/>
        </w:rPr>
        <w:t>cas</w:t>
      </w:r>
      <w:r w:rsidRPr="00027DD6">
        <w:rPr>
          <w:color w:val="auto"/>
          <w:lang w:val="fr-CA"/>
        </w:rPr>
        <w:t xml:space="preserve">) </w:t>
      </w:r>
      <w:r w:rsidR="00A670B0">
        <w:rPr>
          <w:b/>
          <w:color w:val="C00000"/>
          <w:lang w:val="fr-CA"/>
        </w:rPr>
        <w:t>N’étaient pas conforme</w:t>
      </w:r>
    </w:p>
    <w:p w14:paraId="5CE60B54" w14:textId="04FE3445" w:rsidR="00147575" w:rsidRPr="00A670B0" w:rsidRDefault="00147575" w:rsidP="00147575">
      <w:pPr>
        <w:pStyle w:val="ListParagraph"/>
        <w:numPr>
          <w:ilvl w:val="0"/>
          <w:numId w:val="2"/>
        </w:numPr>
        <w:rPr>
          <w:color w:val="auto"/>
          <w:lang w:val="fr-CA"/>
        </w:rPr>
      </w:pPr>
      <w:r w:rsidRPr="00A670B0">
        <w:rPr>
          <w:color w:val="auto"/>
          <w:lang w:val="fr-CA"/>
        </w:rPr>
        <w:t xml:space="preserve">29 </w:t>
      </w:r>
      <w:r w:rsidR="00137BCA">
        <w:rPr>
          <w:color w:val="auto"/>
          <w:lang w:val="fr-CA"/>
        </w:rPr>
        <w:t>cas</w:t>
      </w:r>
      <w:r w:rsidRPr="00A670B0">
        <w:rPr>
          <w:color w:val="auto"/>
          <w:lang w:val="fr-CA"/>
        </w:rPr>
        <w:t xml:space="preserve"> </w:t>
      </w:r>
      <w:r w:rsidR="007B226A" w:rsidRPr="00A670B0">
        <w:rPr>
          <w:lang w:val="fr-CA"/>
        </w:rPr>
        <w:t xml:space="preserve">– </w:t>
      </w:r>
      <w:r w:rsidR="00A670B0" w:rsidRPr="00A670B0">
        <w:rPr>
          <w:color w:val="auto"/>
          <w:lang w:val="fr-CA"/>
        </w:rPr>
        <w:t>le deuxième médecin n’était pas indépendant</w:t>
      </w:r>
      <w:r w:rsidR="000C6644" w:rsidRPr="00A670B0">
        <w:rPr>
          <w:color w:val="auto"/>
          <w:lang w:val="fr-CA"/>
        </w:rPr>
        <w:t>*</w:t>
      </w:r>
    </w:p>
    <w:p w14:paraId="1F610A10" w14:textId="4241D8CE" w:rsidR="007B226A" w:rsidRPr="00A670B0" w:rsidRDefault="007B226A" w:rsidP="00147575">
      <w:pPr>
        <w:pStyle w:val="ListParagraph"/>
        <w:numPr>
          <w:ilvl w:val="0"/>
          <w:numId w:val="2"/>
        </w:numPr>
        <w:rPr>
          <w:color w:val="auto"/>
          <w:lang w:val="fr-CA"/>
        </w:rPr>
      </w:pPr>
      <w:r w:rsidRPr="00A670B0">
        <w:rPr>
          <w:color w:val="auto"/>
          <w:lang w:val="fr-CA"/>
        </w:rPr>
        <w:t xml:space="preserve">9 </w:t>
      </w:r>
      <w:r w:rsidR="00137BCA">
        <w:rPr>
          <w:color w:val="auto"/>
          <w:lang w:val="fr-CA"/>
        </w:rPr>
        <w:t>cas</w:t>
      </w:r>
      <w:r w:rsidRPr="00A670B0">
        <w:rPr>
          <w:color w:val="auto"/>
          <w:lang w:val="fr-CA"/>
        </w:rPr>
        <w:t xml:space="preserve"> </w:t>
      </w:r>
      <w:r w:rsidRPr="00A670B0">
        <w:rPr>
          <w:lang w:val="fr-CA"/>
        </w:rPr>
        <w:t xml:space="preserve">– </w:t>
      </w:r>
      <w:r w:rsidR="00A670B0">
        <w:rPr>
          <w:color w:val="auto"/>
          <w:lang w:val="fr-CA"/>
        </w:rPr>
        <w:t>n’a pas mené des entretiens avec la personne à plusieurs occasions pour s’assurer de la persistance de ses souffrances et son désir de mourir.</w:t>
      </w:r>
    </w:p>
    <w:p w14:paraId="5B555D81" w14:textId="42A2A196" w:rsidR="007B226A" w:rsidRPr="00A670B0" w:rsidRDefault="007B226A" w:rsidP="007B226A">
      <w:pPr>
        <w:pStyle w:val="ListParagraph"/>
        <w:numPr>
          <w:ilvl w:val="0"/>
          <w:numId w:val="2"/>
        </w:numPr>
        <w:rPr>
          <w:lang w:val="fr-CA"/>
        </w:rPr>
      </w:pPr>
      <w:r w:rsidRPr="00A670B0">
        <w:rPr>
          <w:lang w:val="fr-CA"/>
        </w:rPr>
        <w:t xml:space="preserve">6 </w:t>
      </w:r>
      <w:r w:rsidR="00137BCA">
        <w:rPr>
          <w:lang w:val="fr-CA"/>
        </w:rPr>
        <w:t>cas</w:t>
      </w:r>
      <w:r w:rsidRPr="00A670B0">
        <w:rPr>
          <w:lang w:val="fr-CA"/>
        </w:rPr>
        <w:t xml:space="preserve"> – </w:t>
      </w:r>
      <w:r w:rsidR="00A670B0">
        <w:rPr>
          <w:lang w:val="fr-CA"/>
        </w:rPr>
        <w:t>Le d</w:t>
      </w:r>
      <w:r w:rsidR="00A670B0" w:rsidRPr="003028BC">
        <w:rPr>
          <w:lang w:val="fr-CA"/>
        </w:rPr>
        <w:t xml:space="preserve">euxième médecin a </w:t>
      </w:r>
      <w:r w:rsidR="00A670B0">
        <w:rPr>
          <w:lang w:val="fr-CA"/>
        </w:rPr>
        <w:t xml:space="preserve">approuvé </w:t>
      </w:r>
      <w:r w:rsidR="00B34ADB">
        <w:rPr>
          <w:lang w:val="fr-CA"/>
        </w:rPr>
        <w:t xml:space="preserve">l’euthanasie </w:t>
      </w:r>
      <w:r w:rsidR="00A670B0" w:rsidRPr="003028BC">
        <w:rPr>
          <w:lang w:val="fr-CA"/>
        </w:rPr>
        <w:t>avant que la</w:t>
      </w:r>
      <w:r w:rsidR="00A670B0">
        <w:rPr>
          <w:lang w:val="fr-CA"/>
        </w:rPr>
        <w:t xml:space="preserve"> demande ne soit </w:t>
      </w:r>
      <w:proofErr w:type="gramStart"/>
      <w:r w:rsidR="00A670B0">
        <w:rPr>
          <w:lang w:val="fr-CA"/>
        </w:rPr>
        <w:t>signé</w:t>
      </w:r>
      <w:proofErr w:type="gramEnd"/>
    </w:p>
    <w:p w14:paraId="2BE9F5B7" w14:textId="38646AFF" w:rsidR="000C6644" w:rsidRPr="00027DD6" w:rsidRDefault="000C6644" w:rsidP="000C6644">
      <w:pPr>
        <w:pStyle w:val="ListParagraph"/>
        <w:numPr>
          <w:ilvl w:val="0"/>
          <w:numId w:val="2"/>
        </w:numPr>
        <w:rPr>
          <w:lang w:val="fr-CA"/>
        </w:rPr>
      </w:pPr>
      <w:r w:rsidRPr="00027DD6">
        <w:rPr>
          <w:lang w:val="fr-CA"/>
        </w:rPr>
        <w:t xml:space="preserve">7 </w:t>
      </w:r>
      <w:r w:rsidR="00137BCA">
        <w:rPr>
          <w:lang w:val="fr-CA"/>
        </w:rPr>
        <w:t>cas</w:t>
      </w:r>
      <w:r w:rsidRPr="00027DD6">
        <w:rPr>
          <w:lang w:val="fr-CA"/>
        </w:rPr>
        <w:t xml:space="preserve"> – </w:t>
      </w:r>
      <w:r w:rsidR="00A670B0">
        <w:rPr>
          <w:lang w:val="fr-CA"/>
        </w:rPr>
        <w:t xml:space="preserve">La personne n’était </w:t>
      </w:r>
      <w:r w:rsidR="00A670B0">
        <w:rPr>
          <w:b/>
          <w:color w:val="C00000"/>
          <w:lang w:val="fr-CA"/>
        </w:rPr>
        <w:t>pas admissible</w:t>
      </w:r>
    </w:p>
    <w:p w14:paraId="498435A3" w14:textId="118993F5" w:rsidR="000C6644" w:rsidRPr="00A670B0" w:rsidRDefault="000C6644" w:rsidP="000C6644">
      <w:pPr>
        <w:pStyle w:val="ListParagraph"/>
        <w:numPr>
          <w:ilvl w:val="1"/>
          <w:numId w:val="2"/>
        </w:numPr>
        <w:rPr>
          <w:lang w:val="fr-CA"/>
        </w:rPr>
      </w:pPr>
      <w:r w:rsidRPr="00A670B0">
        <w:rPr>
          <w:lang w:val="fr-CA"/>
        </w:rPr>
        <w:t xml:space="preserve">5 </w:t>
      </w:r>
      <w:r w:rsidR="00137BCA">
        <w:rPr>
          <w:lang w:val="fr-CA"/>
        </w:rPr>
        <w:t>cas</w:t>
      </w:r>
      <w:r w:rsidRPr="00A670B0">
        <w:rPr>
          <w:lang w:val="fr-CA"/>
        </w:rPr>
        <w:t xml:space="preserve"> – </w:t>
      </w:r>
      <w:r w:rsidR="00A670B0">
        <w:rPr>
          <w:lang w:val="fr-CA"/>
        </w:rPr>
        <w:t>La personne n’avait pas de « </w:t>
      </w:r>
      <w:r w:rsidR="00A670B0" w:rsidRPr="00A670B0">
        <w:rPr>
          <w:color w:val="C00000"/>
          <w:lang w:val="fr-CA"/>
        </w:rPr>
        <w:t>maladie grave et incurable</w:t>
      </w:r>
      <w:r w:rsidRPr="00A670B0">
        <w:rPr>
          <w:color w:val="C00000"/>
          <w:lang w:val="fr-CA"/>
        </w:rPr>
        <w:t>.</w:t>
      </w:r>
      <w:r w:rsidR="00A670B0" w:rsidRPr="00A670B0">
        <w:rPr>
          <w:color w:val="C00000"/>
          <w:lang w:val="fr-CA"/>
        </w:rPr>
        <w:t> »</w:t>
      </w:r>
    </w:p>
    <w:p w14:paraId="700A84FB" w14:textId="593700DE" w:rsidR="000C6644" w:rsidRPr="00A670B0" w:rsidRDefault="000C6644" w:rsidP="000C6644">
      <w:pPr>
        <w:pStyle w:val="ListParagraph"/>
        <w:numPr>
          <w:ilvl w:val="1"/>
          <w:numId w:val="2"/>
        </w:numPr>
        <w:rPr>
          <w:lang w:val="fr-CA"/>
        </w:rPr>
      </w:pPr>
      <w:r w:rsidRPr="00A670B0">
        <w:rPr>
          <w:lang w:val="fr-CA"/>
        </w:rPr>
        <w:t xml:space="preserve">2 </w:t>
      </w:r>
      <w:r w:rsidR="00137BCA">
        <w:rPr>
          <w:lang w:val="fr-CA"/>
        </w:rPr>
        <w:t>cas</w:t>
      </w:r>
      <w:r w:rsidRPr="00A670B0">
        <w:rPr>
          <w:lang w:val="fr-CA"/>
        </w:rPr>
        <w:t xml:space="preserve"> – </w:t>
      </w:r>
      <w:r w:rsidR="00A670B0" w:rsidRPr="00A670B0">
        <w:rPr>
          <w:lang w:val="fr-CA"/>
        </w:rPr>
        <w:t xml:space="preserve">La personne n’était pas </w:t>
      </w:r>
      <w:r w:rsidR="00A670B0" w:rsidRPr="00A670B0">
        <w:rPr>
          <w:color w:val="C00000"/>
          <w:lang w:val="fr-CA"/>
        </w:rPr>
        <w:t>« en fin de vie. »</w:t>
      </w:r>
    </w:p>
    <w:p w14:paraId="5DEDC872" w14:textId="7AB730C0" w:rsidR="007B226A" w:rsidRPr="001551C3" w:rsidRDefault="007B226A" w:rsidP="001551C3">
      <w:pPr>
        <w:pStyle w:val="ListParagraph"/>
        <w:numPr>
          <w:ilvl w:val="0"/>
          <w:numId w:val="2"/>
        </w:numPr>
        <w:rPr>
          <w:lang w:val="fr-CA"/>
        </w:rPr>
      </w:pPr>
      <w:r w:rsidRPr="001551C3">
        <w:rPr>
          <w:lang w:val="fr-CA"/>
        </w:rPr>
        <w:t xml:space="preserve">5 </w:t>
      </w:r>
      <w:r w:rsidR="00137BCA">
        <w:rPr>
          <w:lang w:val="fr-CA"/>
        </w:rPr>
        <w:t>cas</w:t>
      </w:r>
      <w:r w:rsidRPr="001551C3">
        <w:rPr>
          <w:lang w:val="fr-CA"/>
        </w:rPr>
        <w:t xml:space="preserve"> – </w:t>
      </w:r>
      <w:r w:rsidR="001551C3">
        <w:rPr>
          <w:lang w:val="fr-CA"/>
        </w:rPr>
        <w:t>La personne qui a contresigné la demande n’était pas un professionnel de la santé.</w:t>
      </w:r>
    </w:p>
    <w:p w14:paraId="3F2A86DA" w14:textId="15311FC5" w:rsidR="007B226A" w:rsidRPr="001551C3" w:rsidRDefault="007B226A" w:rsidP="001551C3">
      <w:pPr>
        <w:pStyle w:val="ListParagraph"/>
        <w:numPr>
          <w:ilvl w:val="0"/>
          <w:numId w:val="2"/>
        </w:numPr>
        <w:rPr>
          <w:lang w:val="fr-CA"/>
        </w:rPr>
      </w:pPr>
      <w:r w:rsidRPr="001551C3">
        <w:rPr>
          <w:lang w:val="fr-CA"/>
        </w:rPr>
        <w:t xml:space="preserve">4 </w:t>
      </w:r>
      <w:r w:rsidR="00137BCA">
        <w:rPr>
          <w:lang w:val="fr-CA"/>
        </w:rPr>
        <w:t>cas</w:t>
      </w:r>
      <w:r w:rsidRPr="001551C3">
        <w:rPr>
          <w:lang w:val="fr-CA"/>
        </w:rPr>
        <w:t xml:space="preserve"> – </w:t>
      </w:r>
      <w:r w:rsidR="001551C3">
        <w:rPr>
          <w:lang w:val="fr-CA"/>
        </w:rPr>
        <w:t>La personne n’avait pas d’assurance maladie</w:t>
      </w:r>
    </w:p>
    <w:p w14:paraId="147E196D" w14:textId="473E18EF" w:rsidR="007B226A" w:rsidRPr="001551C3" w:rsidRDefault="007B226A" w:rsidP="007B226A">
      <w:pPr>
        <w:pStyle w:val="ListParagraph"/>
        <w:numPr>
          <w:ilvl w:val="0"/>
          <w:numId w:val="2"/>
        </w:numPr>
        <w:rPr>
          <w:lang w:val="fr-CA"/>
        </w:rPr>
      </w:pPr>
      <w:r w:rsidRPr="001551C3">
        <w:rPr>
          <w:lang w:val="fr-CA"/>
        </w:rPr>
        <w:t xml:space="preserve">2 </w:t>
      </w:r>
      <w:r w:rsidR="00137BCA">
        <w:rPr>
          <w:lang w:val="fr-CA"/>
        </w:rPr>
        <w:t>cas</w:t>
      </w:r>
      <w:r w:rsidRPr="001551C3">
        <w:rPr>
          <w:lang w:val="fr-CA"/>
        </w:rPr>
        <w:t xml:space="preserve"> – </w:t>
      </w:r>
      <w:r w:rsidR="001551C3">
        <w:rPr>
          <w:lang w:val="fr-CA"/>
        </w:rPr>
        <w:t>Le médecin n’a pas assurer de la conformité avec les protections.</w:t>
      </w:r>
    </w:p>
    <w:p w14:paraId="0500DB6F" w14:textId="33BC852D" w:rsidR="000C6644" w:rsidRPr="001874B5" w:rsidRDefault="000C6644" w:rsidP="000C6644">
      <w:pPr>
        <w:rPr>
          <w:lang w:val="fr-CA"/>
        </w:rPr>
      </w:pPr>
      <w:r w:rsidRPr="001874B5">
        <w:rPr>
          <w:lang w:val="fr-CA"/>
        </w:rPr>
        <w:t>*</w:t>
      </w:r>
      <w:r w:rsidR="001874B5" w:rsidRPr="001874B5">
        <w:rPr>
          <w:lang w:val="fr-CA"/>
        </w:rPr>
        <w:t xml:space="preserve"> Notez que le second médecin n'est plus obligé d'être indépendant à partir de février 2017</w:t>
      </w:r>
      <w:r w:rsidRPr="001874B5">
        <w:rPr>
          <w:lang w:val="fr-CA"/>
        </w:rPr>
        <w:t>.</w:t>
      </w:r>
    </w:p>
    <w:p w14:paraId="44A22AF6" w14:textId="4500AC96" w:rsidR="007B226A" w:rsidRPr="001874B5" w:rsidRDefault="007B226A" w:rsidP="007B226A">
      <w:pPr>
        <w:rPr>
          <w:lang w:val="fr-CA"/>
        </w:rPr>
      </w:pPr>
    </w:p>
    <w:p w14:paraId="141F5EC1" w14:textId="7798C8AB" w:rsidR="00E354E3" w:rsidRDefault="001874B5" w:rsidP="00E354E3">
      <w:pPr>
        <w:rPr>
          <w:lang w:val="fr-CA"/>
        </w:rPr>
      </w:pPr>
      <w:r w:rsidRPr="00340260">
        <w:rPr>
          <w:lang w:val="fr-CA"/>
        </w:rPr>
        <w:t>LES INFORMATIONS DÉPOSÉS PAR DES ÉTABLISS</w:t>
      </w:r>
      <w:r>
        <w:rPr>
          <w:lang w:val="fr-CA"/>
        </w:rPr>
        <w:t xml:space="preserve">EMENTS ET LE </w:t>
      </w:r>
      <w:r w:rsidRPr="00340260">
        <w:rPr>
          <w:lang w:val="fr-CA"/>
        </w:rPr>
        <w:t>CMQ</w:t>
      </w:r>
    </w:p>
    <w:p w14:paraId="3B573EF5" w14:textId="77777777" w:rsidR="001874B5" w:rsidRPr="001874B5" w:rsidRDefault="001874B5" w:rsidP="00E354E3">
      <w:pPr>
        <w:rPr>
          <w:lang w:val="fr-CA"/>
        </w:rPr>
      </w:pPr>
    </w:p>
    <w:p w14:paraId="45E9DAD2" w14:textId="671322F9" w:rsidR="00E354E3" w:rsidRPr="008A5FBA" w:rsidRDefault="00E354E3" w:rsidP="00E354E3">
      <w:pPr>
        <w:rPr>
          <w:color w:val="auto"/>
          <w:lang w:val="fr-CA"/>
        </w:rPr>
      </w:pPr>
      <w:r w:rsidRPr="008A5FBA">
        <w:rPr>
          <w:color w:val="auto"/>
          <w:lang w:val="fr-CA"/>
        </w:rPr>
        <w:t xml:space="preserve">1,831 </w:t>
      </w:r>
      <w:r w:rsidR="001874B5" w:rsidRPr="00340260">
        <w:rPr>
          <w:color w:val="ED7D31" w:themeColor="accent2"/>
          <w:lang w:val="fr-CA"/>
        </w:rPr>
        <w:t xml:space="preserve">Sédations palliatives </w:t>
      </w:r>
      <w:proofErr w:type="gramStart"/>
      <w:r w:rsidR="001874B5" w:rsidRPr="00340260">
        <w:rPr>
          <w:color w:val="ED7D31" w:themeColor="accent2"/>
          <w:lang w:val="fr-CA"/>
        </w:rPr>
        <w:t>continues</w:t>
      </w:r>
      <w:proofErr w:type="gramEnd"/>
      <w:r w:rsidRPr="008A5FBA">
        <w:rPr>
          <w:color w:val="auto"/>
          <w:lang w:val="fr-CA"/>
        </w:rPr>
        <w:t xml:space="preserve"> </w:t>
      </w:r>
      <w:r w:rsidR="001874B5" w:rsidRPr="008A5FBA">
        <w:rPr>
          <w:color w:val="auto"/>
          <w:lang w:val="fr-CA"/>
        </w:rPr>
        <w:t xml:space="preserve">de </w:t>
      </w:r>
      <w:r w:rsidR="008A5FBA" w:rsidRPr="008A5FBA">
        <w:rPr>
          <w:color w:val="auto"/>
          <w:lang w:val="fr-CA"/>
        </w:rPr>
        <w:t>10/12/15 – 31/3/18</w:t>
      </w:r>
    </w:p>
    <w:p w14:paraId="7A3256E4" w14:textId="783C6488" w:rsidR="00E354E3" w:rsidRPr="008A5FBA" w:rsidRDefault="00E354E3" w:rsidP="00E354E3">
      <w:pPr>
        <w:rPr>
          <w:lang w:val="fr-CA"/>
        </w:rPr>
      </w:pPr>
    </w:p>
    <w:p w14:paraId="13DFC910" w14:textId="14A902F6" w:rsidR="00126305" w:rsidRPr="008A5FBA" w:rsidRDefault="00E354E3" w:rsidP="00E354E3">
      <w:pPr>
        <w:rPr>
          <w:lang w:val="fr-CA"/>
        </w:rPr>
      </w:pPr>
      <w:r w:rsidRPr="008A5FBA">
        <w:rPr>
          <w:lang w:val="fr-CA"/>
        </w:rPr>
        <w:t xml:space="preserve">2,482* </w:t>
      </w:r>
      <w:r w:rsidR="008A5FBA" w:rsidRPr="00340260">
        <w:rPr>
          <w:lang w:val="fr-CA"/>
        </w:rPr>
        <w:t xml:space="preserve">demandes d’euthanasie ont été </w:t>
      </w:r>
      <w:r w:rsidR="008A5FBA" w:rsidRPr="008A5FBA">
        <w:rPr>
          <w:color w:val="5B9BD5" w:themeColor="accent5"/>
          <w:lang w:val="fr-CA"/>
        </w:rPr>
        <w:t>reçues</w:t>
      </w:r>
      <w:r w:rsidRPr="008A5FBA">
        <w:rPr>
          <w:lang w:val="fr-CA"/>
        </w:rPr>
        <w:t xml:space="preserve"> </w:t>
      </w:r>
    </w:p>
    <w:p w14:paraId="0B312110" w14:textId="7F821D9D" w:rsidR="00126305" w:rsidRPr="00027DD6" w:rsidRDefault="00126305" w:rsidP="00126305">
      <w:pPr>
        <w:rPr>
          <w:lang w:val="fr-CA"/>
        </w:rPr>
      </w:pPr>
      <w:r w:rsidRPr="00027DD6">
        <w:rPr>
          <w:lang w:val="fr-CA"/>
        </w:rPr>
        <w:t xml:space="preserve">36% (887) </w:t>
      </w:r>
      <w:r w:rsidR="008A5FBA" w:rsidRPr="00340260">
        <w:rPr>
          <w:lang w:val="fr-CA"/>
        </w:rPr>
        <w:t>n’étaient pas administrés</w:t>
      </w:r>
    </w:p>
    <w:p w14:paraId="76CE29C4" w14:textId="722E4A67" w:rsidR="00126305" w:rsidRPr="00027DD6" w:rsidRDefault="00126305" w:rsidP="00126305">
      <w:pPr>
        <w:rPr>
          <w:lang w:val="fr-CA"/>
        </w:rPr>
      </w:pPr>
      <w:r w:rsidRPr="00027DD6">
        <w:rPr>
          <w:color w:val="auto"/>
          <w:lang w:val="fr-CA"/>
        </w:rPr>
        <w:t xml:space="preserve">64% </w:t>
      </w:r>
      <w:r w:rsidRPr="00027DD6">
        <w:rPr>
          <w:color w:val="FF0000"/>
          <w:lang w:val="fr-CA"/>
        </w:rPr>
        <w:t xml:space="preserve">(1,664) </w:t>
      </w:r>
      <w:proofErr w:type="gramStart"/>
      <w:r w:rsidR="008A5FBA" w:rsidRPr="00027DD6">
        <w:rPr>
          <w:color w:val="FF0000"/>
          <w:lang w:val="fr-CA"/>
        </w:rPr>
        <w:t>euthanasi</w:t>
      </w:r>
      <w:r w:rsidR="008A5FBA">
        <w:rPr>
          <w:color w:val="FF0000"/>
          <w:lang w:val="fr-CA"/>
        </w:rPr>
        <w:t>es</w:t>
      </w:r>
      <w:r w:rsidR="008A5FBA" w:rsidRPr="00027DD6">
        <w:rPr>
          <w:lang w:val="fr-CA"/>
        </w:rPr>
        <w:t xml:space="preserve"> </w:t>
      </w:r>
      <w:r w:rsidR="008A5FBA">
        <w:rPr>
          <w:lang w:val="fr-CA"/>
        </w:rPr>
        <w:t>administrés</w:t>
      </w:r>
      <w:proofErr w:type="gramEnd"/>
    </w:p>
    <w:p w14:paraId="5E2544EE" w14:textId="746F691F" w:rsidR="00126305" w:rsidRPr="00027DD6" w:rsidRDefault="00126305" w:rsidP="00126305">
      <w:pPr>
        <w:pStyle w:val="ListParagraph"/>
        <w:numPr>
          <w:ilvl w:val="0"/>
          <w:numId w:val="2"/>
        </w:numPr>
        <w:rPr>
          <w:lang w:val="fr-CA"/>
        </w:rPr>
      </w:pPr>
      <w:r w:rsidRPr="00027DD6">
        <w:rPr>
          <w:lang w:val="fr-CA"/>
        </w:rPr>
        <w:t xml:space="preserve">1603 </w:t>
      </w:r>
      <w:r w:rsidR="008A5FBA">
        <w:rPr>
          <w:lang w:val="fr-CA"/>
        </w:rPr>
        <w:t>déclarés par des établissements</w:t>
      </w:r>
    </w:p>
    <w:p w14:paraId="08161490" w14:textId="3FE1051D" w:rsidR="00126305" w:rsidRPr="00027DD6" w:rsidRDefault="00126305" w:rsidP="00E354E3">
      <w:pPr>
        <w:pStyle w:val="ListParagraph"/>
        <w:numPr>
          <w:ilvl w:val="0"/>
          <w:numId w:val="2"/>
        </w:numPr>
        <w:rPr>
          <w:lang w:val="fr-CA"/>
        </w:rPr>
      </w:pPr>
      <w:r w:rsidRPr="00027DD6">
        <w:rPr>
          <w:lang w:val="fr-CA"/>
        </w:rPr>
        <w:t xml:space="preserve">61 </w:t>
      </w:r>
      <w:r w:rsidR="008A5FBA">
        <w:rPr>
          <w:lang w:val="fr-CA"/>
        </w:rPr>
        <w:t xml:space="preserve">déclarés par le </w:t>
      </w:r>
      <w:r w:rsidR="008A5FBA" w:rsidRPr="00027DD6">
        <w:rPr>
          <w:lang w:val="fr-CA"/>
        </w:rPr>
        <w:t>CMQ</w:t>
      </w:r>
      <w:r w:rsidR="00034262" w:rsidRPr="00027DD6">
        <w:rPr>
          <w:lang w:val="fr-CA"/>
        </w:rPr>
        <w:t xml:space="preserve">.  </w:t>
      </w:r>
    </w:p>
    <w:p w14:paraId="1ED55AF9" w14:textId="77777777" w:rsidR="00126305" w:rsidRPr="00027DD6" w:rsidRDefault="00126305" w:rsidP="00E354E3">
      <w:pPr>
        <w:rPr>
          <w:lang w:val="fr-CA"/>
        </w:rPr>
      </w:pPr>
    </w:p>
    <w:p w14:paraId="3FE9B16A" w14:textId="7733698A" w:rsidR="00E354E3" w:rsidRPr="008A5FBA" w:rsidRDefault="002948B6" w:rsidP="00E354E3">
      <w:pPr>
        <w:rPr>
          <w:color w:val="auto"/>
          <w:lang w:val="fr-CA"/>
        </w:rPr>
      </w:pPr>
      <w:r w:rsidRPr="00A078FD">
        <w:rPr>
          <w:lang w:val="fr-CA"/>
        </w:rPr>
        <w:t xml:space="preserve">*887 + 1664 = 2551.  </w:t>
      </w:r>
      <w:r w:rsidR="008A5FBA" w:rsidRPr="007B353C">
        <w:rPr>
          <w:color w:val="auto"/>
          <w:lang w:val="fr-CA"/>
        </w:rPr>
        <w:t xml:space="preserve">Le rapport ne tient pas compte de la divergence de </w:t>
      </w:r>
      <w:r w:rsidR="008A5FBA">
        <w:rPr>
          <w:color w:val="auto"/>
          <w:lang w:val="fr-CA"/>
        </w:rPr>
        <w:t>69</w:t>
      </w:r>
      <w:r w:rsidR="008A5FBA" w:rsidRPr="007B353C">
        <w:rPr>
          <w:color w:val="auto"/>
          <w:lang w:val="fr-CA"/>
        </w:rPr>
        <w:t xml:space="preserve"> cas</w:t>
      </w:r>
      <w:r w:rsidR="008A5FBA">
        <w:rPr>
          <w:color w:val="auto"/>
          <w:lang w:val="fr-CA"/>
        </w:rPr>
        <w:t>, entre 2 482 and 2 551</w:t>
      </w:r>
      <w:r w:rsidR="008A5FBA" w:rsidRPr="007B353C">
        <w:rPr>
          <w:color w:val="auto"/>
          <w:lang w:val="fr-CA"/>
        </w:rPr>
        <w:t xml:space="preserve">. Étant donné que le tableau des raisons pour lesquelles l’euthanasie n’a pas été administrée </w:t>
      </w:r>
      <w:r w:rsidR="008A5FBA">
        <w:rPr>
          <w:color w:val="auto"/>
          <w:lang w:val="fr-CA"/>
        </w:rPr>
        <w:t>donne</w:t>
      </w:r>
      <w:r w:rsidR="008A5FBA" w:rsidRPr="007B353C">
        <w:rPr>
          <w:color w:val="auto"/>
          <w:lang w:val="fr-CA"/>
        </w:rPr>
        <w:t xml:space="preserve"> </w:t>
      </w:r>
      <w:r w:rsidR="008A5FBA" w:rsidRPr="008A5FBA">
        <w:rPr>
          <w:color w:val="auto"/>
          <w:lang w:val="fr-CA"/>
        </w:rPr>
        <w:t>887</w:t>
      </w:r>
      <w:r w:rsidR="008A5FBA" w:rsidRPr="007B353C">
        <w:rPr>
          <w:color w:val="auto"/>
          <w:lang w:val="fr-CA"/>
        </w:rPr>
        <w:t xml:space="preserve">, on ne peut que présumer que le chiffre </w:t>
      </w:r>
      <w:r w:rsidR="008A5FBA">
        <w:rPr>
          <w:color w:val="auto"/>
          <w:lang w:val="fr-CA"/>
        </w:rPr>
        <w:t>2 482</w:t>
      </w:r>
      <w:r w:rsidR="008A5FBA" w:rsidRPr="007B353C">
        <w:rPr>
          <w:color w:val="auto"/>
          <w:lang w:val="fr-CA"/>
        </w:rPr>
        <w:t xml:space="preserve"> ou le chiffre </w:t>
      </w:r>
      <w:r w:rsidR="008A5FBA">
        <w:rPr>
          <w:color w:val="auto"/>
          <w:lang w:val="fr-CA"/>
        </w:rPr>
        <w:t>887</w:t>
      </w:r>
      <w:r w:rsidR="008A5FBA" w:rsidRPr="007B353C">
        <w:rPr>
          <w:color w:val="auto"/>
          <w:lang w:val="fr-CA"/>
        </w:rPr>
        <w:t xml:space="preserve"> est erroné.</w:t>
      </w:r>
    </w:p>
    <w:p w14:paraId="572DE738" w14:textId="170C3BEB" w:rsidR="00034262" w:rsidRPr="00A078FD" w:rsidRDefault="00034262" w:rsidP="00E354E3">
      <w:pPr>
        <w:rPr>
          <w:lang w:val="fr-CA"/>
        </w:rPr>
      </w:pPr>
    </w:p>
    <w:p w14:paraId="42964903" w14:textId="686D42C1" w:rsidR="008A5FBA" w:rsidRDefault="008A5FBA" w:rsidP="008A5FBA">
      <w:pPr>
        <w:rPr>
          <w:color w:val="auto"/>
          <w:lang w:val="fr-CA"/>
        </w:rPr>
      </w:pPr>
      <w:r w:rsidRPr="007B353C">
        <w:rPr>
          <w:color w:val="auto"/>
          <w:lang w:val="fr-CA"/>
        </w:rPr>
        <w:t xml:space="preserve">Plus inquiétant, cependant, </w:t>
      </w:r>
      <w:r w:rsidRPr="007B353C">
        <w:rPr>
          <w:color w:val="C00000"/>
          <w:lang w:val="fr-CA"/>
        </w:rPr>
        <w:t xml:space="preserve">le rapport aborde la différence entre </w:t>
      </w:r>
      <w:r>
        <w:rPr>
          <w:b/>
          <w:color w:val="C00000"/>
          <w:lang w:val="fr-CA"/>
        </w:rPr>
        <w:t xml:space="preserve">1,493 formulaires reçues </w:t>
      </w:r>
      <w:r w:rsidRPr="007B353C">
        <w:rPr>
          <w:color w:val="C00000"/>
          <w:lang w:val="fr-CA"/>
        </w:rPr>
        <w:t>des médecins et</w:t>
      </w:r>
      <w:r w:rsidRPr="007B353C">
        <w:rPr>
          <w:b/>
          <w:color w:val="C00000"/>
          <w:lang w:val="fr-CA"/>
        </w:rPr>
        <w:t xml:space="preserve"> </w:t>
      </w:r>
      <w:r>
        <w:rPr>
          <w:b/>
          <w:color w:val="C00000"/>
          <w:lang w:val="fr-CA"/>
        </w:rPr>
        <w:t>1664</w:t>
      </w:r>
      <w:r w:rsidRPr="007B353C">
        <w:rPr>
          <w:b/>
          <w:color w:val="C00000"/>
          <w:lang w:val="fr-CA"/>
        </w:rPr>
        <w:t xml:space="preserve"> euthanasies</w:t>
      </w:r>
      <w:r w:rsidRPr="007B353C">
        <w:rPr>
          <w:color w:val="C00000"/>
          <w:lang w:val="fr-CA"/>
        </w:rPr>
        <w:t xml:space="preserve"> déclarées par le CMQ et des établissements </w:t>
      </w:r>
      <w:r w:rsidRPr="007B353C">
        <w:rPr>
          <w:b/>
          <w:color w:val="FF0000"/>
          <w:lang w:val="fr-CA"/>
        </w:rPr>
        <w:t>(1</w:t>
      </w:r>
      <w:r>
        <w:rPr>
          <w:b/>
          <w:color w:val="FF0000"/>
          <w:lang w:val="fr-CA"/>
        </w:rPr>
        <w:t>71</w:t>
      </w:r>
      <w:r w:rsidRPr="007B353C">
        <w:rPr>
          <w:b/>
          <w:color w:val="FF0000"/>
          <w:lang w:val="fr-CA"/>
        </w:rPr>
        <w:t xml:space="preserve"> décès au total)</w:t>
      </w:r>
      <w:r w:rsidRPr="007B353C">
        <w:rPr>
          <w:color w:val="FF0000"/>
          <w:lang w:val="fr-CA"/>
        </w:rPr>
        <w:t>.</w:t>
      </w:r>
      <w:r>
        <w:rPr>
          <w:color w:val="auto"/>
          <w:lang w:val="fr-CA"/>
        </w:rPr>
        <w:t xml:space="preserve"> </w:t>
      </w:r>
    </w:p>
    <w:p w14:paraId="7DA33D54" w14:textId="7A74C290" w:rsidR="00810287" w:rsidRPr="00A078FD" w:rsidRDefault="00810287" w:rsidP="00E354E3">
      <w:pPr>
        <w:rPr>
          <w:color w:val="auto"/>
          <w:lang w:val="fr-CA"/>
        </w:rPr>
      </w:pPr>
    </w:p>
    <w:p w14:paraId="6C5902AC" w14:textId="0159B153" w:rsidR="00810287" w:rsidRPr="008A5FBA" w:rsidRDefault="008A5FBA" w:rsidP="00E354E3">
      <w:pPr>
        <w:rPr>
          <w:color w:val="auto"/>
          <w:lang w:val="fr-CA"/>
        </w:rPr>
      </w:pPr>
      <w:r w:rsidRPr="007B353C">
        <w:rPr>
          <w:color w:val="auto"/>
          <w:lang w:val="fr-CA"/>
        </w:rPr>
        <w:t xml:space="preserve">Les raisons que l’euthanasie n’était pas </w:t>
      </w:r>
      <w:proofErr w:type="gramStart"/>
      <w:r>
        <w:rPr>
          <w:color w:val="auto"/>
          <w:lang w:val="fr-CA"/>
        </w:rPr>
        <w:t>administré</w:t>
      </w:r>
      <w:proofErr w:type="gramEnd"/>
      <w:r>
        <w:rPr>
          <w:color w:val="auto"/>
          <w:lang w:val="fr-CA"/>
        </w:rPr>
        <w:t> </w:t>
      </w:r>
      <w:r w:rsidRPr="007B353C">
        <w:rPr>
          <w:color w:val="auto"/>
          <w:lang w:val="fr-CA"/>
        </w:rPr>
        <w:t>:</w:t>
      </w:r>
    </w:p>
    <w:p w14:paraId="1816DD1D" w14:textId="32CD07D4" w:rsidR="00810287" w:rsidRPr="008A5FBA" w:rsidRDefault="00810287" w:rsidP="00810287">
      <w:pPr>
        <w:pStyle w:val="ListParagraph"/>
        <w:numPr>
          <w:ilvl w:val="0"/>
          <w:numId w:val="2"/>
        </w:numPr>
        <w:rPr>
          <w:color w:val="auto"/>
          <w:lang w:val="fr-CA"/>
        </w:rPr>
      </w:pPr>
      <w:r w:rsidRPr="008A5FBA">
        <w:rPr>
          <w:color w:val="auto"/>
          <w:lang w:val="fr-CA"/>
        </w:rPr>
        <w:t>3</w:t>
      </w:r>
      <w:r w:rsidR="00B06F9E" w:rsidRPr="008A5FBA">
        <w:rPr>
          <w:color w:val="auto"/>
          <w:lang w:val="fr-CA"/>
        </w:rPr>
        <w:t>8.8</w:t>
      </w:r>
      <w:r w:rsidRPr="008A5FBA">
        <w:rPr>
          <w:color w:val="auto"/>
          <w:lang w:val="fr-CA"/>
        </w:rPr>
        <w:t xml:space="preserve">% (344) </w:t>
      </w:r>
      <w:r w:rsidR="008A5FBA">
        <w:rPr>
          <w:color w:val="auto"/>
          <w:lang w:val="fr-CA"/>
        </w:rPr>
        <w:t>personnes n’étaient pas admissible, ou devenaient inéligible</w:t>
      </w:r>
    </w:p>
    <w:p w14:paraId="1A5B56F5" w14:textId="55824EBA" w:rsidR="00810287" w:rsidRPr="008A5FBA" w:rsidRDefault="00810287" w:rsidP="00810287">
      <w:pPr>
        <w:pStyle w:val="ListParagraph"/>
        <w:numPr>
          <w:ilvl w:val="0"/>
          <w:numId w:val="2"/>
        </w:numPr>
        <w:rPr>
          <w:color w:val="auto"/>
          <w:lang w:val="fr-CA"/>
        </w:rPr>
      </w:pPr>
      <w:r w:rsidRPr="008A5FBA">
        <w:rPr>
          <w:color w:val="auto"/>
          <w:lang w:val="fr-CA"/>
        </w:rPr>
        <w:t>3</w:t>
      </w:r>
      <w:r w:rsidR="00C47C9A" w:rsidRPr="008A5FBA">
        <w:rPr>
          <w:color w:val="auto"/>
          <w:lang w:val="fr-CA"/>
        </w:rPr>
        <w:t>2.6</w:t>
      </w:r>
      <w:r w:rsidRPr="008A5FBA">
        <w:rPr>
          <w:color w:val="auto"/>
          <w:lang w:val="fr-CA"/>
        </w:rPr>
        <w:t xml:space="preserve">% (289) </w:t>
      </w:r>
      <w:r w:rsidR="008A5FBA">
        <w:rPr>
          <w:color w:val="auto"/>
          <w:lang w:val="fr-CA"/>
        </w:rPr>
        <w:t xml:space="preserve">personnes sont mort avant que la détermination d’admissibilité </w:t>
      </w:r>
      <w:proofErr w:type="gramStart"/>
      <w:r w:rsidR="008A5FBA">
        <w:rPr>
          <w:color w:val="auto"/>
          <w:lang w:val="fr-CA"/>
        </w:rPr>
        <w:t>a</w:t>
      </w:r>
      <w:proofErr w:type="gramEnd"/>
      <w:r w:rsidR="008A5FBA">
        <w:rPr>
          <w:color w:val="auto"/>
          <w:lang w:val="fr-CA"/>
        </w:rPr>
        <w:t xml:space="preserve"> été achevé ou l’euthanasie a été administré.</w:t>
      </w:r>
    </w:p>
    <w:p w14:paraId="1B0C137B" w14:textId="4DCE5F21" w:rsidR="00810287" w:rsidRPr="00027DD6" w:rsidRDefault="00810287" w:rsidP="00810287">
      <w:pPr>
        <w:pStyle w:val="ListParagraph"/>
        <w:numPr>
          <w:ilvl w:val="0"/>
          <w:numId w:val="2"/>
        </w:numPr>
        <w:rPr>
          <w:color w:val="auto"/>
          <w:lang w:val="fr-CA"/>
        </w:rPr>
      </w:pPr>
      <w:r w:rsidRPr="00027DD6">
        <w:rPr>
          <w:color w:val="auto"/>
          <w:lang w:val="fr-CA"/>
        </w:rPr>
        <w:t>14</w:t>
      </w:r>
      <w:r w:rsidR="00C47C9A" w:rsidRPr="00027DD6">
        <w:rPr>
          <w:color w:val="auto"/>
          <w:lang w:val="fr-CA"/>
        </w:rPr>
        <w:t>.4</w:t>
      </w:r>
      <w:r w:rsidRPr="00027DD6">
        <w:rPr>
          <w:color w:val="auto"/>
          <w:lang w:val="fr-CA"/>
        </w:rPr>
        <w:t xml:space="preserve">% (128) </w:t>
      </w:r>
      <w:r w:rsidR="008A5FBA">
        <w:rPr>
          <w:color w:val="auto"/>
          <w:lang w:val="fr-CA"/>
        </w:rPr>
        <w:t>personnes ont retirés leur demande.</w:t>
      </w:r>
    </w:p>
    <w:p w14:paraId="395411DA" w14:textId="733A6417" w:rsidR="00810287" w:rsidRPr="00027DD6" w:rsidRDefault="00C47C9A" w:rsidP="00810287">
      <w:pPr>
        <w:pStyle w:val="ListParagraph"/>
        <w:numPr>
          <w:ilvl w:val="0"/>
          <w:numId w:val="2"/>
        </w:numPr>
        <w:rPr>
          <w:color w:val="auto"/>
          <w:lang w:val="fr-CA"/>
        </w:rPr>
      </w:pPr>
      <w:r w:rsidRPr="00027DD6">
        <w:rPr>
          <w:color w:val="auto"/>
          <w:lang w:val="fr-CA"/>
        </w:rPr>
        <w:t>8.1%</w:t>
      </w:r>
      <w:r w:rsidR="00810287" w:rsidRPr="00027DD6">
        <w:rPr>
          <w:color w:val="auto"/>
          <w:lang w:val="fr-CA"/>
        </w:rPr>
        <w:t xml:space="preserve"> (72) </w:t>
      </w:r>
      <w:r w:rsidR="008A5FBA">
        <w:rPr>
          <w:color w:val="auto"/>
          <w:lang w:val="fr-CA"/>
        </w:rPr>
        <w:t>personnes ont choisi d’autre traitement.</w:t>
      </w:r>
    </w:p>
    <w:p w14:paraId="693DAC90" w14:textId="2F59729A" w:rsidR="00810287" w:rsidRPr="0091108B" w:rsidRDefault="00810287" w:rsidP="00810287">
      <w:pPr>
        <w:pStyle w:val="ListParagraph"/>
        <w:numPr>
          <w:ilvl w:val="0"/>
          <w:numId w:val="2"/>
        </w:numPr>
        <w:rPr>
          <w:color w:val="auto"/>
          <w:lang w:val="en-CA"/>
        </w:rPr>
      </w:pPr>
      <w:r w:rsidRPr="0091108B">
        <w:rPr>
          <w:color w:val="auto"/>
          <w:lang w:val="en-CA"/>
        </w:rPr>
        <w:t>3.</w:t>
      </w:r>
      <w:r w:rsidR="00C47C9A" w:rsidRPr="0091108B">
        <w:rPr>
          <w:color w:val="auto"/>
          <w:lang w:val="en-CA"/>
        </w:rPr>
        <w:t>5%</w:t>
      </w:r>
      <w:r w:rsidRPr="0091108B">
        <w:rPr>
          <w:color w:val="auto"/>
          <w:lang w:val="en-CA"/>
        </w:rPr>
        <w:t xml:space="preserve"> (31) requests were in process of evaluation</w:t>
      </w:r>
    </w:p>
    <w:p w14:paraId="295AB0F1" w14:textId="66D229B0" w:rsidR="00810287" w:rsidRPr="00FD3A3B" w:rsidRDefault="00810287" w:rsidP="00810287">
      <w:pPr>
        <w:pStyle w:val="ListParagraph"/>
        <w:numPr>
          <w:ilvl w:val="0"/>
          <w:numId w:val="2"/>
        </w:numPr>
        <w:rPr>
          <w:color w:val="auto"/>
          <w:lang w:val="fr-CA"/>
        </w:rPr>
      </w:pPr>
      <w:r w:rsidRPr="00FD3A3B">
        <w:rPr>
          <w:color w:val="auto"/>
          <w:lang w:val="fr-CA"/>
        </w:rPr>
        <w:t>2.</w:t>
      </w:r>
      <w:r w:rsidR="00C47C9A" w:rsidRPr="00FD3A3B">
        <w:rPr>
          <w:color w:val="auto"/>
          <w:lang w:val="fr-CA"/>
        </w:rPr>
        <w:t>6%</w:t>
      </w:r>
      <w:r w:rsidRPr="00FD3A3B">
        <w:rPr>
          <w:color w:val="auto"/>
          <w:lang w:val="fr-CA"/>
        </w:rPr>
        <w:t xml:space="preserve"> (23) </w:t>
      </w:r>
      <w:r w:rsidR="00FD3A3B">
        <w:rPr>
          <w:color w:val="auto"/>
          <w:lang w:val="fr-CA"/>
        </w:rPr>
        <w:t>personnes sont</w:t>
      </w:r>
      <w:r w:rsidR="00FD3A3B" w:rsidRPr="0091108B">
        <w:rPr>
          <w:color w:val="auto"/>
          <w:lang w:val="fr-CA"/>
        </w:rPr>
        <w:t xml:space="preserve"> retourn</w:t>
      </w:r>
      <w:r w:rsidR="00FD3A3B">
        <w:rPr>
          <w:color w:val="auto"/>
          <w:lang w:val="fr-CA"/>
        </w:rPr>
        <w:t>é</w:t>
      </w:r>
      <w:r w:rsidR="00FD3A3B" w:rsidRPr="0091108B">
        <w:rPr>
          <w:color w:val="auto"/>
          <w:lang w:val="fr-CA"/>
        </w:rPr>
        <w:t>e</w:t>
      </w:r>
      <w:r w:rsidR="00FD3A3B">
        <w:rPr>
          <w:color w:val="auto"/>
          <w:lang w:val="fr-CA"/>
        </w:rPr>
        <w:t>s</w:t>
      </w:r>
      <w:r w:rsidR="00FD3A3B" w:rsidRPr="0091108B">
        <w:rPr>
          <w:color w:val="auto"/>
          <w:lang w:val="fr-CA"/>
        </w:rPr>
        <w:t xml:space="preserve"> à </w:t>
      </w:r>
      <w:r w:rsidR="00FD3A3B">
        <w:rPr>
          <w:color w:val="auto"/>
          <w:lang w:val="fr-CA"/>
        </w:rPr>
        <w:t xml:space="preserve">leur </w:t>
      </w:r>
      <w:r w:rsidR="00FD3A3B" w:rsidRPr="0091108B">
        <w:rPr>
          <w:color w:val="auto"/>
          <w:lang w:val="fr-CA"/>
        </w:rPr>
        <w:t xml:space="preserve">domicile ou </w:t>
      </w:r>
      <w:r w:rsidR="00FD3A3B">
        <w:rPr>
          <w:color w:val="auto"/>
          <w:lang w:val="fr-CA"/>
        </w:rPr>
        <w:t>ont</w:t>
      </w:r>
      <w:r w:rsidR="00FD3A3B" w:rsidRPr="0091108B">
        <w:rPr>
          <w:color w:val="auto"/>
          <w:lang w:val="fr-CA"/>
        </w:rPr>
        <w:t xml:space="preserve"> </w:t>
      </w:r>
      <w:r w:rsidR="00FD3A3B">
        <w:rPr>
          <w:color w:val="auto"/>
          <w:lang w:val="fr-CA"/>
        </w:rPr>
        <w:t>été</w:t>
      </w:r>
      <w:r w:rsidR="00FD3A3B" w:rsidRPr="0091108B">
        <w:rPr>
          <w:color w:val="auto"/>
          <w:lang w:val="fr-CA"/>
        </w:rPr>
        <w:t xml:space="preserve"> transf</w:t>
      </w:r>
      <w:r w:rsidR="00FD3A3B">
        <w:rPr>
          <w:color w:val="auto"/>
          <w:lang w:val="fr-CA"/>
        </w:rPr>
        <w:t>éré</w:t>
      </w:r>
      <w:r w:rsidR="00FD3A3B" w:rsidRPr="0091108B">
        <w:rPr>
          <w:color w:val="auto"/>
          <w:lang w:val="fr-CA"/>
        </w:rPr>
        <w:t>e en maison de soins palliatifs ou dans un autre centre hospitalier</w:t>
      </w:r>
      <w:r w:rsidRPr="00FD3A3B">
        <w:rPr>
          <w:color w:val="auto"/>
          <w:lang w:val="fr-CA"/>
        </w:rPr>
        <w:t>.</w:t>
      </w:r>
    </w:p>
    <w:p w14:paraId="7E3A3034" w14:textId="19583EFE" w:rsidR="00D911FC" w:rsidRPr="00FD3A3B" w:rsidRDefault="00D911FC" w:rsidP="00D911FC">
      <w:pPr>
        <w:rPr>
          <w:color w:val="auto"/>
          <w:lang w:val="fr-CA"/>
        </w:rPr>
      </w:pPr>
    </w:p>
    <w:p w14:paraId="3885083E" w14:textId="3775E40F" w:rsidR="002B133C" w:rsidRPr="00FD3A3B" w:rsidRDefault="00FD3A3B" w:rsidP="002B133C">
      <w:pPr>
        <w:spacing w:after="180"/>
        <w:rPr>
          <w:color w:val="auto"/>
          <w:lang w:val="fr-CA"/>
        </w:rPr>
      </w:pPr>
      <w:r>
        <w:rPr>
          <w:color w:val="auto"/>
          <w:lang w:val="fr-CA"/>
        </w:rPr>
        <w:t xml:space="preserve">Sommaire de l’étude </w:t>
      </w:r>
      <w:r w:rsidR="002B133C" w:rsidRPr="00FD3A3B">
        <w:rPr>
          <w:color w:val="auto"/>
          <w:lang w:val="fr-CA"/>
        </w:rPr>
        <w:t>de la webémission</w:t>
      </w:r>
    </w:p>
    <w:p w14:paraId="1F1D79A0" w14:textId="77777777" w:rsidR="00FD3A3B" w:rsidRPr="00FD3A3B" w:rsidRDefault="00FD3A3B" w:rsidP="00FD3A3B">
      <w:pPr>
        <w:spacing w:after="240"/>
        <w:rPr>
          <w:b/>
          <w:lang w:val="fr-CA"/>
        </w:rPr>
      </w:pPr>
      <w:r w:rsidRPr="00FD3A3B">
        <w:rPr>
          <w:b/>
          <w:lang w:val="fr-CA"/>
        </w:rPr>
        <w:t>LA TROISIÈME RAPPORT DE LA COMMISSION SUR L’EUTHANASIE AU QUÉBEC</w:t>
      </w:r>
    </w:p>
    <w:p w14:paraId="48CFAD8A" w14:textId="77777777" w:rsidR="00FD3A3B" w:rsidRPr="00FD3A3B" w:rsidRDefault="00FD3A3B" w:rsidP="00FD3A3B">
      <w:pPr>
        <w:pStyle w:val="ListParagraph"/>
        <w:numPr>
          <w:ilvl w:val="0"/>
          <w:numId w:val="6"/>
        </w:numPr>
        <w:spacing w:after="180"/>
        <w:contextualSpacing w:val="0"/>
        <w:rPr>
          <w:lang w:val="fr-CA"/>
        </w:rPr>
      </w:pPr>
      <w:r w:rsidRPr="00FD3A3B">
        <w:rPr>
          <w:lang w:val="fr-CA"/>
        </w:rPr>
        <w:t>Il y a trois ans, le 10 décembre 2015, le programme d'euthanasie du Québec est entré en vigueur. Contrairement à la loi fédérale, le Québec prévoit l'euthanasie sur demande aux personnes admissibles, et la « sédation palliative continue » sans les exigences d’admissibilité et protections liées à une demande d'euthanasie.</w:t>
      </w:r>
    </w:p>
    <w:p w14:paraId="62416CBC" w14:textId="77777777" w:rsidR="00FD3A3B" w:rsidRPr="00FD3A3B" w:rsidRDefault="00FD3A3B" w:rsidP="00FD3A3B">
      <w:pPr>
        <w:pStyle w:val="ListParagraph"/>
        <w:numPr>
          <w:ilvl w:val="0"/>
          <w:numId w:val="6"/>
        </w:numPr>
        <w:spacing w:after="180"/>
        <w:contextualSpacing w:val="0"/>
        <w:rPr>
          <w:lang w:val="fr-CA"/>
        </w:rPr>
      </w:pPr>
      <w:r w:rsidRPr="00FD3A3B">
        <w:rPr>
          <w:lang w:val="fr-CA"/>
        </w:rPr>
        <w:lastRenderedPageBreak/>
        <w:t xml:space="preserve">La Commission sur les soins de fin de vie du Québec a publié le 7 décembre son </w:t>
      </w:r>
      <w:hyperlink r:id="rId5" w:history="1">
        <w:r w:rsidRPr="00FD3A3B">
          <w:rPr>
            <w:rStyle w:val="Hyperlink"/>
            <w:lang w:val="fr-CA"/>
          </w:rPr>
          <w:t>troisième rapport</w:t>
        </w:r>
      </w:hyperlink>
      <w:r w:rsidRPr="00FD3A3B">
        <w:rPr>
          <w:lang w:val="fr-CA"/>
        </w:rPr>
        <w:t xml:space="preserve"> sur le programme d'euthanasie de la province, couvrant la période du 1er juillet 2017 au 31 mars 2018, avec les données cumulatives ramassées depuis décembre, 2015. La Commission a ajusté la période de déclaration de manière à coïncider avec l'exercice financier du Québec, à savoir du 1er avril au 31 mars.</w:t>
      </w:r>
    </w:p>
    <w:p w14:paraId="02F54DD4" w14:textId="77777777" w:rsidR="00FD3A3B" w:rsidRPr="00FD3A3B" w:rsidRDefault="00FD3A3B" w:rsidP="00FD3A3B">
      <w:pPr>
        <w:pStyle w:val="ListParagraph"/>
        <w:numPr>
          <w:ilvl w:val="0"/>
          <w:numId w:val="6"/>
        </w:numPr>
        <w:spacing w:after="180"/>
        <w:contextualSpacing w:val="0"/>
        <w:rPr>
          <w:lang w:val="fr-CA"/>
        </w:rPr>
      </w:pPr>
      <w:r w:rsidRPr="00FD3A3B">
        <w:rPr>
          <w:lang w:val="fr-CA"/>
        </w:rPr>
        <w:t>Comme dans les rapports précédents du Québec, le fait le plus frappant de ce troisième rapport est la différence entre le nombre de formules d'euthanasie soumis par les médecins et le nombre d'euthanasies déclarés par les établissements et le Collège des médecins du Québec. Au cours de la période considérée, la Commission a reçu 708 formulaires (dont cinq pour les décès administrés dans les années précédentes), tandis que ce second flux d'informations indiquait 845 cas d'euthanasie (une différence de 142 décès pendant le période de déclaration). Le rapport ne reconnaît ni n'essaye d'expliquer cette différence.</w:t>
      </w:r>
    </w:p>
    <w:p w14:paraId="17B77637" w14:textId="77777777" w:rsidR="00FD3A3B" w:rsidRPr="00FD3A3B" w:rsidRDefault="00FD3A3B" w:rsidP="00FD3A3B">
      <w:pPr>
        <w:pStyle w:val="ListParagraph"/>
        <w:numPr>
          <w:ilvl w:val="0"/>
          <w:numId w:val="6"/>
        </w:numPr>
        <w:spacing w:after="180"/>
        <w:contextualSpacing w:val="0"/>
        <w:rPr>
          <w:lang w:val="fr-CA"/>
        </w:rPr>
      </w:pPr>
      <w:r w:rsidRPr="00FD3A3B">
        <w:rPr>
          <w:lang w:val="fr-CA"/>
        </w:rPr>
        <w:t xml:space="preserve">Nous avons rédigé un résumé des statistiques du rapport, que nous afficherons sur notre </w:t>
      </w:r>
      <w:hyperlink r:id="rId6" w:history="1">
        <w:r w:rsidRPr="00FD3A3B">
          <w:rPr>
            <w:rStyle w:val="Hyperlink"/>
            <w:lang w:val="fr-CA"/>
          </w:rPr>
          <w:t>site Web</w:t>
        </w:r>
      </w:hyperlink>
      <w:r w:rsidRPr="00FD3A3B">
        <w:rPr>
          <w:lang w:val="fr-CA"/>
        </w:rPr>
        <w:t xml:space="preserve"> dans la section rapports et documents.</w:t>
      </w:r>
    </w:p>
    <w:p w14:paraId="743ED84C" w14:textId="77777777" w:rsidR="00FD3A3B" w:rsidRPr="00FD3A3B" w:rsidRDefault="00FD3A3B" w:rsidP="00FD3A3B">
      <w:pPr>
        <w:pStyle w:val="ListParagraph"/>
        <w:numPr>
          <w:ilvl w:val="0"/>
          <w:numId w:val="6"/>
        </w:numPr>
        <w:spacing w:after="180"/>
        <w:contextualSpacing w:val="0"/>
        <w:rPr>
          <w:lang w:val="fr-CA"/>
        </w:rPr>
      </w:pPr>
      <w:r w:rsidRPr="00FD3A3B">
        <w:rPr>
          <w:lang w:val="fr-CA"/>
        </w:rPr>
        <w:t>La Commission a signalé que 45% des formulaires remplis par les médecins nécessitaient un suivi pour obtenir des informations supplémentaires. Des lettres et des appels téléphoniques étaient nécessaires pour 334 formulaires et 90 médecins ont reçu une deuxième lettre après avoir omis de fournir les renseignements demandés par la Commission.</w:t>
      </w:r>
    </w:p>
    <w:p w14:paraId="29FCD4EC" w14:textId="77777777" w:rsidR="00FD3A3B" w:rsidRPr="00FD3A3B" w:rsidRDefault="00FD3A3B" w:rsidP="00FD3A3B">
      <w:pPr>
        <w:pStyle w:val="ListParagraph"/>
        <w:numPr>
          <w:ilvl w:val="0"/>
          <w:numId w:val="6"/>
        </w:numPr>
        <w:spacing w:after="180"/>
        <w:contextualSpacing w:val="0"/>
        <w:rPr>
          <w:lang w:val="fr-CA"/>
        </w:rPr>
      </w:pPr>
      <w:r w:rsidRPr="00FD3A3B">
        <w:rPr>
          <w:lang w:val="fr-CA"/>
        </w:rPr>
        <w:t>La Commission a examiné un total de 782 formulaires au cours de la période de référence.</w:t>
      </w:r>
    </w:p>
    <w:p w14:paraId="63811835" w14:textId="77777777" w:rsidR="00FD3A3B" w:rsidRPr="00FD3A3B" w:rsidRDefault="00FD3A3B" w:rsidP="00FD3A3B">
      <w:pPr>
        <w:pStyle w:val="ListParagraph"/>
        <w:numPr>
          <w:ilvl w:val="1"/>
          <w:numId w:val="6"/>
        </w:numPr>
        <w:spacing w:after="180"/>
        <w:ind w:left="786"/>
        <w:contextualSpacing w:val="0"/>
        <w:rPr>
          <w:lang w:val="fr-CA"/>
        </w:rPr>
      </w:pPr>
      <w:r w:rsidRPr="00FD3A3B">
        <w:rPr>
          <w:lang w:val="fr-CA"/>
        </w:rPr>
        <w:t>741 ont été examinés pour la première fois.</w:t>
      </w:r>
    </w:p>
    <w:p w14:paraId="6A8A851D" w14:textId="77777777" w:rsidR="00FD3A3B" w:rsidRPr="00FD3A3B" w:rsidRDefault="00FD3A3B" w:rsidP="00FD3A3B">
      <w:pPr>
        <w:pStyle w:val="ListParagraph"/>
        <w:numPr>
          <w:ilvl w:val="1"/>
          <w:numId w:val="6"/>
        </w:numPr>
        <w:spacing w:after="180"/>
        <w:ind w:left="786"/>
        <w:contextualSpacing w:val="0"/>
        <w:rPr>
          <w:lang w:val="fr-CA"/>
        </w:rPr>
      </w:pPr>
      <w:r w:rsidRPr="00FD3A3B">
        <w:rPr>
          <w:lang w:val="fr-CA"/>
        </w:rPr>
        <w:t>41 ont été examinés une deuxième fois, à la lumière des renseignements supplémentaires reçus.</w:t>
      </w:r>
    </w:p>
    <w:p w14:paraId="5F219DE6" w14:textId="77777777" w:rsidR="00FD3A3B" w:rsidRPr="00FD3A3B" w:rsidRDefault="00FD3A3B" w:rsidP="00FD3A3B">
      <w:pPr>
        <w:pStyle w:val="ListParagraph"/>
        <w:numPr>
          <w:ilvl w:val="1"/>
          <w:numId w:val="6"/>
        </w:numPr>
        <w:spacing w:after="180"/>
        <w:ind w:left="786"/>
        <w:contextualSpacing w:val="0"/>
        <w:rPr>
          <w:lang w:val="fr-CA"/>
        </w:rPr>
      </w:pPr>
      <w:r w:rsidRPr="00FD3A3B">
        <w:rPr>
          <w:lang w:val="fr-CA"/>
        </w:rPr>
        <w:lastRenderedPageBreak/>
        <w:t>658 étaient des formulaires reçus pendant la période en cours.</w:t>
      </w:r>
    </w:p>
    <w:p w14:paraId="27B35DC4" w14:textId="77777777" w:rsidR="00FD3A3B" w:rsidRPr="00FD3A3B" w:rsidRDefault="00FD3A3B" w:rsidP="00FD3A3B">
      <w:pPr>
        <w:pStyle w:val="ListParagraph"/>
        <w:numPr>
          <w:ilvl w:val="1"/>
          <w:numId w:val="6"/>
        </w:numPr>
        <w:spacing w:after="180"/>
        <w:ind w:left="786"/>
        <w:contextualSpacing w:val="0"/>
        <w:rPr>
          <w:lang w:val="fr-CA"/>
        </w:rPr>
      </w:pPr>
      <w:r w:rsidRPr="00FD3A3B">
        <w:rPr>
          <w:lang w:val="fr-CA"/>
        </w:rPr>
        <w:t>83 affaires ont été reportées de l'année précédente.</w:t>
      </w:r>
    </w:p>
    <w:p w14:paraId="2721008C" w14:textId="77777777" w:rsidR="00FD3A3B" w:rsidRPr="00FD3A3B" w:rsidRDefault="00FD3A3B" w:rsidP="00FD3A3B">
      <w:pPr>
        <w:pStyle w:val="ListParagraph"/>
        <w:numPr>
          <w:ilvl w:val="0"/>
          <w:numId w:val="6"/>
        </w:numPr>
        <w:spacing w:after="180"/>
        <w:contextualSpacing w:val="0"/>
        <w:rPr>
          <w:lang w:val="fr-CA"/>
        </w:rPr>
      </w:pPr>
      <w:r w:rsidRPr="00FD3A3B">
        <w:rPr>
          <w:lang w:val="fr-CA"/>
        </w:rPr>
        <w:t>727 décisions ont été rendues au cours de la période considérée. Parmi celles-ci, la Commission a constaté:</w:t>
      </w:r>
    </w:p>
    <w:p w14:paraId="381EB441" w14:textId="77777777" w:rsidR="00FD3A3B" w:rsidRPr="00FD3A3B" w:rsidRDefault="00FD3A3B" w:rsidP="00FD3A3B">
      <w:pPr>
        <w:pStyle w:val="ListParagraph"/>
        <w:numPr>
          <w:ilvl w:val="1"/>
          <w:numId w:val="6"/>
        </w:numPr>
        <w:spacing w:after="180"/>
        <w:ind w:left="786"/>
        <w:contextualSpacing w:val="0"/>
        <w:rPr>
          <w:lang w:val="fr-CA"/>
        </w:rPr>
      </w:pPr>
      <w:r w:rsidRPr="00FD3A3B">
        <w:rPr>
          <w:lang w:val="fr-CA"/>
        </w:rPr>
        <w:t>Dans 90% (658) des cas, les critères d'admissibilité et les garanties ont été respectés;</w:t>
      </w:r>
    </w:p>
    <w:p w14:paraId="0CF600B3" w14:textId="77777777" w:rsidR="00FD3A3B" w:rsidRPr="00FD3A3B" w:rsidRDefault="00FD3A3B" w:rsidP="00FD3A3B">
      <w:pPr>
        <w:pStyle w:val="ListParagraph"/>
        <w:numPr>
          <w:ilvl w:val="1"/>
          <w:numId w:val="6"/>
        </w:numPr>
        <w:spacing w:after="180"/>
        <w:ind w:left="786"/>
        <w:contextualSpacing w:val="0"/>
        <w:rPr>
          <w:lang w:val="fr-CA"/>
        </w:rPr>
      </w:pPr>
      <w:r w:rsidRPr="00FD3A3B">
        <w:rPr>
          <w:lang w:val="fr-CA"/>
        </w:rPr>
        <w:t>Dans 7% des cas (50) aucune détermination de conformité à la loi n’était possible pour les raisons suivantes:</w:t>
      </w:r>
    </w:p>
    <w:p w14:paraId="548599C2" w14:textId="77777777" w:rsidR="00FD3A3B" w:rsidRPr="00FD3A3B" w:rsidRDefault="00FD3A3B" w:rsidP="00FD3A3B">
      <w:pPr>
        <w:pStyle w:val="ListParagraph"/>
        <w:numPr>
          <w:ilvl w:val="2"/>
          <w:numId w:val="6"/>
        </w:numPr>
        <w:spacing w:after="180"/>
        <w:contextualSpacing w:val="0"/>
        <w:rPr>
          <w:lang w:val="fr-CA"/>
        </w:rPr>
      </w:pPr>
      <w:r w:rsidRPr="00FD3A3B">
        <w:rPr>
          <w:lang w:val="fr-CA"/>
        </w:rPr>
        <w:t>Aucune information supplémentaire n'a été fournie (23 cas);</w:t>
      </w:r>
    </w:p>
    <w:p w14:paraId="2468934D" w14:textId="77777777" w:rsidR="00FD3A3B" w:rsidRPr="00FD3A3B" w:rsidRDefault="00FD3A3B" w:rsidP="00FD3A3B">
      <w:pPr>
        <w:pStyle w:val="ListParagraph"/>
        <w:numPr>
          <w:ilvl w:val="2"/>
          <w:numId w:val="6"/>
        </w:numPr>
        <w:spacing w:after="180"/>
        <w:contextualSpacing w:val="0"/>
        <w:rPr>
          <w:lang w:val="fr-CA"/>
        </w:rPr>
      </w:pPr>
      <w:r w:rsidRPr="00FD3A3B">
        <w:rPr>
          <w:lang w:val="fr-CA"/>
        </w:rPr>
        <w:t>Dans 27 cas, les renseignements fournis étaient quand même insuffisants pour décider si les démarches du médecin se conformaient à la loi.</w:t>
      </w:r>
    </w:p>
    <w:p w14:paraId="5AE7B30F" w14:textId="77777777" w:rsidR="00FD3A3B" w:rsidRPr="00FD3A3B" w:rsidRDefault="00FD3A3B" w:rsidP="00FD3A3B">
      <w:pPr>
        <w:pStyle w:val="ListParagraph"/>
        <w:numPr>
          <w:ilvl w:val="1"/>
          <w:numId w:val="6"/>
        </w:numPr>
        <w:spacing w:after="180"/>
        <w:ind w:left="786"/>
        <w:contextualSpacing w:val="0"/>
        <w:rPr>
          <w:lang w:val="fr-CA"/>
        </w:rPr>
      </w:pPr>
      <w:r w:rsidRPr="00FD3A3B">
        <w:rPr>
          <w:lang w:val="fr-CA"/>
        </w:rPr>
        <w:t xml:space="preserve">Dans 3% (19) des cas, les critères d'admissibilité ou les garanties </w:t>
      </w:r>
      <w:r w:rsidRPr="00FD3A3B">
        <w:rPr>
          <w:b/>
          <w:lang w:val="fr-CA"/>
        </w:rPr>
        <w:t>n’étaient pas respectés</w:t>
      </w:r>
      <w:r w:rsidRPr="00FD3A3B">
        <w:rPr>
          <w:lang w:val="fr-CA"/>
        </w:rPr>
        <w:t>. Cela comprend:</w:t>
      </w:r>
    </w:p>
    <w:p w14:paraId="05CD283C" w14:textId="77777777" w:rsidR="00FD3A3B" w:rsidRPr="00FD3A3B" w:rsidRDefault="00FD3A3B" w:rsidP="00FD3A3B">
      <w:pPr>
        <w:pStyle w:val="ListParagraph"/>
        <w:numPr>
          <w:ilvl w:val="2"/>
          <w:numId w:val="6"/>
        </w:numPr>
        <w:spacing w:after="180"/>
        <w:contextualSpacing w:val="0"/>
        <w:rPr>
          <w:lang w:val="fr-CA"/>
        </w:rPr>
      </w:pPr>
      <w:proofErr w:type="gramStart"/>
      <w:r w:rsidRPr="00FD3A3B">
        <w:rPr>
          <w:lang w:val="fr-CA"/>
        </w:rPr>
        <w:t>trois</w:t>
      </w:r>
      <w:proofErr w:type="gramEnd"/>
      <w:r w:rsidRPr="00FD3A3B">
        <w:rPr>
          <w:lang w:val="fr-CA"/>
        </w:rPr>
        <w:t xml:space="preserve"> personnes qui n'étaient pas éligibles parce qu'elles n’étaient pas atteintes d’une « maladie grave et incurable »; et</w:t>
      </w:r>
    </w:p>
    <w:p w14:paraId="2A8D3AD9" w14:textId="77777777" w:rsidR="00FD3A3B" w:rsidRPr="00FD3A3B" w:rsidRDefault="00FD3A3B" w:rsidP="00FD3A3B">
      <w:pPr>
        <w:pStyle w:val="ListParagraph"/>
        <w:numPr>
          <w:ilvl w:val="2"/>
          <w:numId w:val="6"/>
        </w:numPr>
        <w:spacing w:after="180"/>
        <w:contextualSpacing w:val="0"/>
        <w:rPr>
          <w:lang w:val="fr-CA"/>
        </w:rPr>
      </w:pPr>
      <w:proofErr w:type="gramStart"/>
      <w:r w:rsidRPr="00FD3A3B">
        <w:rPr>
          <w:lang w:val="fr-CA"/>
        </w:rPr>
        <w:t>deux</w:t>
      </w:r>
      <w:proofErr w:type="gramEnd"/>
      <w:r w:rsidRPr="00FD3A3B">
        <w:rPr>
          <w:lang w:val="fr-CA"/>
        </w:rPr>
        <w:t xml:space="preserve"> cas où le médecin qui a approuvé et pratiqué l'euthanasie n'a rencontré la personne que le jour où l'euthanasie a été fournie.</w:t>
      </w:r>
    </w:p>
    <w:p w14:paraId="07176164" w14:textId="77777777" w:rsidR="00FD3A3B" w:rsidRPr="00FD3A3B" w:rsidRDefault="00FD3A3B" w:rsidP="00FD3A3B">
      <w:pPr>
        <w:pStyle w:val="ListParagraph"/>
        <w:numPr>
          <w:ilvl w:val="0"/>
          <w:numId w:val="6"/>
        </w:numPr>
        <w:spacing w:after="180"/>
        <w:contextualSpacing w:val="0"/>
        <w:rPr>
          <w:lang w:val="fr-CA"/>
        </w:rPr>
      </w:pPr>
      <w:r w:rsidRPr="00FD3A3B">
        <w:rPr>
          <w:lang w:val="fr-CA"/>
        </w:rPr>
        <w:t xml:space="preserve">Des chiffres similaires sont présentés dans les statistiques cumulatives du programme du Québec pour la période du 10 décembre 2015 au 31 mars 2018. La Commission indique que 1 493 formulaires de déclaration d'euthanasie ont été reçus de médecins au cours de cette période, tandis que les institutions et le CMQ signalent 1 664 cas d'euthanasie. Ainsi, </w:t>
      </w:r>
      <w:r w:rsidRPr="00FD3A3B">
        <w:rPr>
          <w:b/>
          <w:lang w:val="fr-CA"/>
        </w:rPr>
        <w:t>171 décès</w:t>
      </w:r>
      <w:r w:rsidRPr="00FD3A3B">
        <w:rPr>
          <w:lang w:val="fr-CA"/>
        </w:rPr>
        <w:t xml:space="preserve"> sont inexpliqués, probablement non examinés et peuvent respecter ou non les conditions d’éligibilité et les garanties.</w:t>
      </w:r>
    </w:p>
    <w:p w14:paraId="26FFE28A" w14:textId="77777777" w:rsidR="00FD3A3B" w:rsidRPr="00FD3A3B" w:rsidRDefault="00FD3A3B" w:rsidP="00FD3A3B">
      <w:pPr>
        <w:pStyle w:val="ListParagraph"/>
        <w:numPr>
          <w:ilvl w:val="0"/>
          <w:numId w:val="6"/>
        </w:numPr>
        <w:spacing w:after="180"/>
        <w:contextualSpacing w:val="0"/>
        <w:rPr>
          <w:lang w:val="fr-CA"/>
        </w:rPr>
      </w:pPr>
      <w:r w:rsidRPr="00FD3A3B">
        <w:rPr>
          <w:lang w:val="fr-CA"/>
        </w:rPr>
        <w:lastRenderedPageBreak/>
        <w:t>Au cours des trois dernières années, le nombre d'euthanasies a régulièrement augmenté tous les six mois.</w:t>
      </w:r>
    </w:p>
    <w:p w14:paraId="41A29E3A" w14:textId="77777777" w:rsidR="00FD3A3B" w:rsidRPr="00FD3A3B" w:rsidRDefault="00FD3A3B" w:rsidP="00FD3A3B">
      <w:pPr>
        <w:pStyle w:val="ListParagraph"/>
        <w:numPr>
          <w:ilvl w:val="1"/>
          <w:numId w:val="6"/>
        </w:numPr>
        <w:spacing w:after="180"/>
        <w:ind w:left="786"/>
        <w:contextualSpacing w:val="0"/>
        <w:rPr>
          <w:lang w:val="fr-CA"/>
        </w:rPr>
      </w:pPr>
      <w:r w:rsidRPr="00FD3A3B">
        <w:rPr>
          <w:lang w:val="fr-CA"/>
        </w:rPr>
        <w:t>161 - 1re période (12/15 à 6/16)</w:t>
      </w:r>
    </w:p>
    <w:p w14:paraId="169CE599" w14:textId="77777777" w:rsidR="00FD3A3B" w:rsidRPr="00FD3A3B" w:rsidRDefault="00FD3A3B" w:rsidP="00FD3A3B">
      <w:pPr>
        <w:pStyle w:val="ListParagraph"/>
        <w:numPr>
          <w:ilvl w:val="1"/>
          <w:numId w:val="6"/>
        </w:numPr>
        <w:spacing w:after="180"/>
        <w:ind w:left="786"/>
        <w:contextualSpacing w:val="0"/>
        <w:rPr>
          <w:lang w:val="fr-CA"/>
        </w:rPr>
      </w:pPr>
      <w:r w:rsidRPr="00FD3A3B">
        <w:rPr>
          <w:lang w:val="fr-CA"/>
        </w:rPr>
        <w:t>280 - 2e période (7/16 à 12/16)</w:t>
      </w:r>
    </w:p>
    <w:p w14:paraId="1C20DFD9" w14:textId="77777777" w:rsidR="00FD3A3B" w:rsidRPr="00FD3A3B" w:rsidRDefault="00FD3A3B" w:rsidP="00FD3A3B">
      <w:pPr>
        <w:pStyle w:val="ListParagraph"/>
        <w:numPr>
          <w:ilvl w:val="1"/>
          <w:numId w:val="6"/>
        </w:numPr>
        <w:spacing w:after="180"/>
        <w:ind w:left="786"/>
        <w:contextualSpacing w:val="0"/>
        <w:rPr>
          <w:lang w:val="fr-CA"/>
        </w:rPr>
      </w:pPr>
      <w:r w:rsidRPr="00FD3A3B">
        <w:rPr>
          <w:lang w:val="fr-CA"/>
        </w:rPr>
        <w:t>344 - 3e période (1/17 à 6/17)</w:t>
      </w:r>
    </w:p>
    <w:p w14:paraId="34384353" w14:textId="77777777" w:rsidR="00FD3A3B" w:rsidRPr="00FD3A3B" w:rsidRDefault="00FD3A3B" w:rsidP="00FD3A3B">
      <w:pPr>
        <w:pStyle w:val="ListParagraph"/>
        <w:numPr>
          <w:ilvl w:val="1"/>
          <w:numId w:val="6"/>
        </w:numPr>
        <w:spacing w:after="180"/>
        <w:ind w:left="786"/>
        <w:contextualSpacing w:val="0"/>
        <w:rPr>
          <w:lang w:val="fr-CA"/>
        </w:rPr>
      </w:pPr>
      <w:r w:rsidRPr="00FD3A3B">
        <w:rPr>
          <w:lang w:val="fr-CA"/>
        </w:rPr>
        <w:t>437 - 4e période (7/17 à 12/17)</w:t>
      </w:r>
    </w:p>
    <w:p w14:paraId="6D7BA988" w14:textId="77777777" w:rsidR="00FD3A3B" w:rsidRPr="00FD3A3B" w:rsidRDefault="00FD3A3B" w:rsidP="00FD3A3B">
      <w:pPr>
        <w:pStyle w:val="ListParagraph"/>
        <w:numPr>
          <w:ilvl w:val="1"/>
          <w:numId w:val="6"/>
        </w:numPr>
        <w:spacing w:after="180"/>
        <w:ind w:left="786"/>
        <w:contextualSpacing w:val="0"/>
        <w:rPr>
          <w:lang w:val="fr-CA"/>
        </w:rPr>
      </w:pPr>
      <w:r w:rsidRPr="00FD3A3B">
        <w:rPr>
          <w:lang w:val="fr-CA"/>
        </w:rPr>
        <w:t>542 - 5e période (1/18-6/18) (estimation basée sur 271 de 1 / 18 à 3 / 18)</w:t>
      </w:r>
    </w:p>
    <w:p w14:paraId="3C23B334" w14:textId="77777777" w:rsidR="00FD3A3B" w:rsidRPr="00FD3A3B" w:rsidRDefault="00FD3A3B" w:rsidP="00FD3A3B">
      <w:pPr>
        <w:pStyle w:val="ListParagraph"/>
        <w:numPr>
          <w:ilvl w:val="0"/>
          <w:numId w:val="6"/>
        </w:numPr>
        <w:spacing w:after="180"/>
        <w:contextualSpacing w:val="0"/>
        <w:rPr>
          <w:lang w:val="fr-CA"/>
        </w:rPr>
      </w:pPr>
      <w:r w:rsidRPr="00FD3A3B">
        <w:rPr>
          <w:lang w:val="fr-CA"/>
        </w:rPr>
        <w:t>Sur les 1 374 décisions rendues pour les cas d’euthanasies jusqu’au 31 mars de cette année,</w:t>
      </w:r>
    </w:p>
    <w:p w14:paraId="409EA1D7" w14:textId="77777777" w:rsidR="00FD3A3B" w:rsidRPr="00FD3A3B" w:rsidRDefault="00FD3A3B" w:rsidP="00FD3A3B">
      <w:pPr>
        <w:pStyle w:val="ListParagraph"/>
        <w:numPr>
          <w:ilvl w:val="1"/>
          <w:numId w:val="6"/>
        </w:numPr>
        <w:spacing w:after="180"/>
        <w:ind w:left="786"/>
        <w:contextualSpacing w:val="0"/>
        <w:rPr>
          <w:lang w:val="fr-CA"/>
        </w:rPr>
      </w:pPr>
      <w:r w:rsidRPr="00FD3A3B">
        <w:rPr>
          <w:lang w:val="fr-CA"/>
        </w:rPr>
        <w:t>Dans 90% des cas (1 245), les critères d'admissibilité et les garanties ont été respectés;</w:t>
      </w:r>
    </w:p>
    <w:p w14:paraId="20B387AE" w14:textId="77777777" w:rsidR="00FD3A3B" w:rsidRPr="00FD3A3B" w:rsidRDefault="00FD3A3B" w:rsidP="00FD3A3B">
      <w:pPr>
        <w:pStyle w:val="ListParagraph"/>
        <w:numPr>
          <w:ilvl w:val="1"/>
          <w:numId w:val="6"/>
        </w:numPr>
        <w:spacing w:after="180"/>
        <w:ind w:left="786"/>
        <w:contextualSpacing w:val="0"/>
        <w:rPr>
          <w:lang w:val="fr-CA"/>
        </w:rPr>
      </w:pPr>
      <w:r w:rsidRPr="00FD3A3B">
        <w:rPr>
          <w:lang w:val="fr-CA"/>
        </w:rPr>
        <w:t xml:space="preserve">Dans 4,8% des cas (67) </w:t>
      </w:r>
      <w:r w:rsidRPr="00FD3A3B">
        <w:rPr>
          <w:b/>
          <w:lang w:val="fr-CA"/>
        </w:rPr>
        <w:t>aucune détermination</w:t>
      </w:r>
      <w:r w:rsidRPr="00FD3A3B">
        <w:rPr>
          <w:lang w:val="fr-CA"/>
        </w:rPr>
        <w:t xml:space="preserve"> de conformité à la loi </w:t>
      </w:r>
      <w:r w:rsidRPr="00FD3A3B">
        <w:rPr>
          <w:b/>
          <w:lang w:val="fr-CA"/>
        </w:rPr>
        <w:t>n'était possible</w:t>
      </w:r>
      <w:r w:rsidRPr="00FD3A3B">
        <w:rPr>
          <w:lang w:val="fr-CA"/>
        </w:rPr>
        <w:t>:</w:t>
      </w:r>
    </w:p>
    <w:p w14:paraId="2268D822" w14:textId="77777777" w:rsidR="00FD3A3B" w:rsidRPr="00FD3A3B" w:rsidRDefault="00FD3A3B" w:rsidP="00FD3A3B">
      <w:pPr>
        <w:pStyle w:val="ListParagraph"/>
        <w:numPr>
          <w:ilvl w:val="1"/>
          <w:numId w:val="6"/>
        </w:numPr>
        <w:spacing w:after="180"/>
        <w:ind w:left="786"/>
        <w:contextualSpacing w:val="0"/>
        <w:rPr>
          <w:lang w:val="fr-CA"/>
        </w:rPr>
      </w:pPr>
      <w:r w:rsidRPr="00FD3A3B">
        <w:rPr>
          <w:lang w:val="fr-CA"/>
        </w:rPr>
        <w:t xml:space="preserve">Dans 4,5% des cas (62), les critères d’admissibilités ou les garanties </w:t>
      </w:r>
      <w:r w:rsidRPr="00FD3A3B">
        <w:rPr>
          <w:b/>
          <w:lang w:val="fr-CA"/>
        </w:rPr>
        <w:t>n’étaient pas respectés</w:t>
      </w:r>
      <w:r w:rsidRPr="00FD3A3B">
        <w:rPr>
          <w:lang w:val="fr-CA"/>
        </w:rPr>
        <w:t>.  Cela comprend:</w:t>
      </w:r>
    </w:p>
    <w:p w14:paraId="2B38537D" w14:textId="77777777" w:rsidR="00FD3A3B" w:rsidRPr="00FD3A3B" w:rsidRDefault="00FD3A3B" w:rsidP="00FD3A3B">
      <w:pPr>
        <w:pStyle w:val="ListParagraph"/>
        <w:numPr>
          <w:ilvl w:val="2"/>
          <w:numId w:val="6"/>
        </w:numPr>
        <w:spacing w:after="180"/>
        <w:contextualSpacing w:val="0"/>
        <w:rPr>
          <w:lang w:val="fr-CA"/>
        </w:rPr>
      </w:pPr>
      <w:r w:rsidRPr="00FD3A3B">
        <w:rPr>
          <w:lang w:val="fr-CA"/>
        </w:rPr>
        <w:t>Dans 9 cas, le médecin n’a pas mené lui-même les entretiens avec la personne pour s’assurer du caractère éclairé de sa demande ou pour s’assurer de la persistance de ses souffrances, de la constance de son désir à mourir, et de sa capacité*;</w:t>
      </w:r>
    </w:p>
    <w:p w14:paraId="2AE7B2A9" w14:textId="77777777" w:rsidR="00FD3A3B" w:rsidRPr="00FD3A3B" w:rsidRDefault="00FD3A3B" w:rsidP="00FD3A3B">
      <w:pPr>
        <w:pStyle w:val="ListParagraph"/>
        <w:numPr>
          <w:ilvl w:val="2"/>
          <w:numId w:val="6"/>
        </w:numPr>
        <w:spacing w:after="180"/>
        <w:contextualSpacing w:val="0"/>
        <w:rPr>
          <w:lang w:val="fr-CA"/>
        </w:rPr>
      </w:pPr>
      <w:r w:rsidRPr="00FD3A3B">
        <w:rPr>
          <w:lang w:val="fr-CA"/>
        </w:rPr>
        <w:t>Dans 7 cas, la personne n'était pas admissible:</w:t>
      </w:r>
    </w:p>
    <w:p w14:paraId="15BDC57A" w14:textId="77777777" w:rsidR="00FD3A3B" w:rsidRPr="00FD3A3B" w:rsidRDefault="00FD3A3B" w:rsidP="00FD3A3B">
      <w:pPr>
        <w:pStyle w:val="ListParagraph"/>
        <w:numPr>
          <w:ilvl w:val="3"/>
          <w:numId w:val="6"/>
        </w:numPr>
        <w:spacing w:after="180"/>
        <w:contextualSpacing w:val="0"/>
        <w:rPr>
          <w:lang w:val="fr-CA"/>
        </w:rPr>
      </w:pPr>
      <w:r w:rsidRPr="00FD3A3B">
        <w:rPr>
          <w:lang w:val="fr-CA"/>
        </w:rPr>
        <w:t>Dans 5 cas, la personne n'était pas « atteinte d’une maladie grave et incurable »;</w:t>
      </w:r>
    </w:p>
    <w:p w14:paraId="2C4DA91F" w14:textId="77777777" w:rsidR="00FD3A3B" w:rsidRPr="00FD3A3B" w:rsidRDefault="00FD3A3B" w:rsidP="00FD3A3B">
      <w:pPr>
        <w:pStyle w:val="ListParagraph"/>
        <w:numPr>
          <w:ilvl w:val="3"/>
          <w:numId w:val="6"/>
        </w:numPr>
        <w:spacing w:after="180"/>
        <w:contextualSpacing w:val="0"/>
        <w:rPr>
          <w:lang w:val="fr-CA"/>
        </w:rPr>
      </w:pPr>
      <w:r w:rsidRPr="00FD3A3B">
        <w:rPr>
          <w:lang w:val="fr-CA"/>
        </w:rPr>
        <w:t>En 2 cas, la personne n'était pas en fin de vie;</w:t>
      </w:r>
    </w:p>
    <w:p w14:paraId="3A5DCEE6" w14:textId="77777777" w:rsidR="00FD3A3B" w:rsidRPr="00FD3A3B" w:rsidRDefault="00FD3A3B" w:rsidP="00FD3A3B">
      <w:pPr>
        <w:pStyle w:val="ListParagraph"/>
        <w:numPr>
          <w:ilvl w:val="2"/>
          <w:numId w:val="6"/>
        </w:numPr>
        <w:spacing w:after="180"/>
        <w:contextualSpacing w:val="0"/>
        <w:rPr>
          <w:lang w:val="fr-CA"/>
        </w:rPr>
      </w:pPr>
      <w:r w:rsidRPr="00FD3A3B">
        <w:rPr>
          <w:lang w:val="fr-CA"/>
        </w:rPr>
        <w:t>Dans 6 cas le second médecin a fait sa consultation avant même que la demande d'euthanasie ne soit signée; *</w:t>
      </w:r>
    </w:p>
    <w:p w14:paraId="3BD70FB8" w14:textId="77777777" w:rsidR="00FD3A3B" w:rsidRPr="00FD3A3B" w:rsidRDefault="00FD3A3B" w:rsidP="00FD3A3B">
      <w:pPr>
        <w:pStyle w:val="ListParagraph"/>
        <w:numPr>
          <w:ilvl w:val="2"/>
          <w:numId w:val="6"/>
        </w:numPr>
        <w:spacing w:after="180"/>
        <w:contextualSpacing w:val="0"/>
        <w:rPr>
          <w:lang w:val="fr-CA"/>
        </w:rPr>
      </w:pPr>
      <w:r w:rsidRPr="00FD3A3B">
        <w:rPr>
          <w:lang w:val="fr-CA"/>
        </w:rPr>
        <w:lastRenderedPageBreak/>
        <w:t>En 5 cas, la personne qui a contresigné la demande n'était pas un professionnel de la santé; *</w:t>
      </w:r>
    </w:p>
    <w:p w14:paraId="4482C83B" w14:textId="77777777" w:rsidR="00FD3A3B" w:rsidRPr="00FD3A3B" w:rsidRDefault="00FD3A3B" w:rsidP="00FD3A3B">
      <w:pPr>
        <w:pStyle w:val="ListParagraph"/>
        <w:numPr>
          <w:ilvl w:val="2"/>
          <w:numId w:val="6"/>
        </w:numPr>
        <w:spacing w:after="180"/>
        <w:contextualSpacing w:val="0"/>
        <w:rPr>
          <w:lang w:val="fr-CA"/>
        </w:rPr>
      </w:pPr>
      <w:r w:rsidRPr="00FD3A3B">
        <w:rPr>
          <w:lang w:val="fr-CA"/>
        </w:rPr>
        <w:t>Dans 4 cas, la personne n’était pas assurée au sens de la loi d'assurance maladie;</w:t>
      </w:r>
    </w:p>
    <w:p w14:paraId="684856B9" w14:textId="77777777" w:rsidR="00FD3A3B" w:rsidRPr="00FD3A3B" w:rsidRDefault="00FD3A3B" w:rsidP="00FD3A3B">
      <w:pPr>
        <w:pStyle w:val="ListParagraph"/>
        <w:numPr>
          <w:ilvl w:val="2"/>
          <w:numId w:val="6"/>
        </w:numPr>
        <w:spacing w:after="180"/>
        <w:contextualSpacing w:val="0"/>
        <w:rPr>
          <w:lang w:val="fr-CA"/>
        </w:rPr>
      </w:pPr>
      <w:r w:rsidRPr="00FD3A3B">
        <w:rPr>
          <w:lang w:val="fr-CA"/>
        </w:rPr>
        <w:t>En 2 cas, le médecin n'a pas assuré le respect des garanties. *</w:t>
      </w:r>
    </w:p>
    <w:p w14:paraId="3A33E880" w14:textId="77777777" w:rsidR="00FD3A3B" w:rsidRPr="00FD3A3B" w:rsidRDefault="00FD3A3B" w:rsidP="00FD3A3B">
      <w:pPr>
        <w:pStyle w:val="ListParagraph"/>
        <w:numPr>
          <w:ilvl w:val="2"/>
          <w:numId w:val="6"/>
        </w:numPr>
        <w:spacing w:after="180"/>
        <w:contextualSpacing w:val="0"/>
        <w:rPr>
          <w:lang w:val="fr-CA"/>
        </w:rPr>
      </w:pPr>
      <w:r w:rsidRPr="00FD3A3B">
        <w:rPr>
          <w:lang w:val="fr-CA"/>
        </w:rPr>
        <w:t>Dans les 29 cas restants, le deuxième médecin n'était pas indépendant du premier. Toutefois, cette exigence légale a été supprimée par le ministre de la Santé en février 2017.</w:t>
      </w:r>
    </w:p>
    <w:p w14:paraId="746B428D" w14:textId="77777777" w:rsidR="00FD3A3B" w:rsidRPr="00FD3A3B" w:rsidRDefault="00FD3A3B" w:rsidP="00FD3A3B">
      <w:pPr>
        <w:spacing w:after="180"/>
        <w:rPr>
          <w:lang w:val="fr-CA"/>
        </w:rPr>
      </w:pPr>
      <w:r w:rsidRPr="00FD3A3B">
        <w:rPr>
          <w:lang w:val="fr-CA"/>
        </w:rPr>
        <w:t>*Dans ces cas, l’échec des protections administratives pourrait mettre la vie de la personne en danger.</w:t>
      </w:r>
    </w:p>
    <w:p w14:paraId="51E50313" w14:textId="77777777" w:rsidR="00FD3A3B" w:rsidRPr="00FD3A3B" w:rsidRDefault="00FD3A3B" w:rsidP="00FD3A3B">
      <w:pPr>
        <w:pStyle w:val="ListParagraph"/>
        <w:numPr>
          <w:ilvl w:val="0"/>
          <w:numId w:val="6"/>
        </w:numPr>
        <w:spacing w:after="180"/>
        <w:contextualSpacing w:val="0"/>
        <w:rPr>
          <w:lang w:val="fr-CA"/>
        </w:rPr>
      </w:pPr>
      <w:r w:rsidRPr="00FD3A3B">
        <w:rPr>
          <w:lang w:val="fr-CA"/>
        </w:rPr>
        <w:t>Pour récapituler, nous constatons:</w:t>
      </w:r>
    </w:p>
    <w:p w14:paraId="59B3C073" w14:textId="77777777" w:rsidR="00FD3A3B" w:rsidRPr="00FD3A3B" w:rsidRDefault="00FD3A3B" w:rsidP="00FD3A3B">
      <w:pPr>
        <w:pStyle w:val="ListParagraph"/>
        <w:numPr>
          <w:ilvl w:val="1"/>
          <w:numId w:val="6"/>
        </w:numPr>
        <w:spacing w:after="180"/>
        <w:ind w:left="786"/>
        <w:contextualSpacing w:val="0"/>
        <w:rPr>
          <w:lang w:val="fr-CA"/>
        </w:rPr>
      </w:pPr>
      <w:r w:rsidRPr="00FD3A3B">
        <w:rPr>
          <w:lang w:val="fr-CA"/>
        </w:rPr>
        <w:t>Un « traitement médical » qui était supposé être une option exceptionnelle dans des cas exceptionnels, qui est maintenant utilisé régulièrement, que les soins palliatifs soient en place ou non;</w:t>
      </w:r>
    </w:p>
    <w:p w14:paraId="5FEADFBB" w14:textId="77777777" w:rsidR="00FD3A3B" w:rsidRPr="00FD3A3B" w:rsidRDefault="00FD3A3B" w:rsidP="00FD3A3B">
      <w:pPr>
        <w:pStyle w:val="ListParagraph"/>
        <w:numPr>
          <w:ilvl w:val="1"/>
          <w:numId w:val="6"/>
        </w:numPr>
        <w:spacing w:after="180"/>
        <w:ind w:left="786"/>
        <w:contextualSpacing w:val="0"/>
        <w:rPr>
          <w:lang w:val="fr-CA"/>
        </w:rPr>
      </w:pPr>
      <w:r w:rsidRPr="00FD3A3B">
        <w:rPr>
          <w:lang w:val="fr-CA"/>
        </w:rPr>
        <w:t>Une augmentation substantielle du nombre de personnes euthanasiées tous les six mois, pour un total de 1 664 (en mars dernier); sans compter les 1 831 sédations palliatives continues pratiquées depuis 2015;</w:t>
      </w:r>
    </w:p>
    <w:p w14:paraId="5095EE9C" w14:textId="77777777" w:rsidR="00FD3A3B" w:rsidRPr="00FD3A3B" w:rsidRDefault="00FD3A3B" w:rsidP="00FD3A3B">
      <w:pPr>
        <w:pStyle w:val="ListParagraph"/>
        <w:numPr>
          <w:ilvl w:val="1"/>
          <w:numId w:val="6"/>
        </w:numPr>
        <w:spacing w:after="180"/>
        <w:ind w:left="786"/>
        <w:contextualSpacing w:val="0"/>
        <w:rPr>
          <w:lang w:val="fr-CA"/>
        </w:rPr>
      </w:pPr>
      <w:r w:rsidRPr="00FD3A3B">
        <w:rPr>
          <w:lang w:val="fr-CA"/>
        </w:rPr>
        <w:t>171 décès non comptabilisés;</w:t>
      </w:r>
    </w:p>
    <w:p w14:paraId="22EFC32C" w14:textId="77777777" w:rsidR="00FD3A3B" w:rsidRPr="00FD3A3B" w:rsidRDefault="00FD3A3B" w:rsidP="00FD3A3B">
      <w:pPr>
        <w:pStyle w:val="ListParagraph"/>
        <w:numPr>
          <w:ilvl w:val="1"/>
          <w:numId w:val="6"/>
        </w:numPr>
        <w:spacing w:after="180"/>
        <w:ind w:left="786"/>
        <w:contextualSpacing w:val="0"/>
        <w:rPr>
          <w:lang w:val="fr-CA"/>
        </w:rPr>
      </w:pPr>
      <w:r w:rsidRPr="00FD3A3B">
        <w:rPr>
          <w:lang w:val="fr-CA"/>
        </w:rPr>
        <w:t>67 décès où la conformité avec la loi n'a pas pu être déterminée, et</w:t>
      </w:r>
    </w:p>
    <w:p w14:paraId="631F230F" w14:textId="77777777" w:rsidR="00FD3A3B" w:rsidRPr="00FD3A3B" w:rsidRDefault="00FD3A3B" w:rsidP="00FD3A3B">
      <w:pPr>
        <w:pStyle w:val="ListParagraph"/>
        <w:numPr>
          <w:ilvl w:val="1"/>
          <w:numId w:val="6"/>
        </w:numPr>
        <w:spacing w:after="180"/>
        <w:ind w:left="786"/>
        <w:contextualSpacing w:val="0"/>
        <w:rPr>
          <w:lang w:val="fr-CA"/>
        </w:rPr>
      </w:pPr>
      <w:r w:rsidRPr="00FD3A3B">
        <w:rPr>
          <w:lang w:val="fr-CA"/>
        </w:rPr>
        <w:t>22 décès où d'importantes garanties procédurales n'ont pas été suivies; et</w:t>
      </w:r>
    </w:p>
    <w:p w14:paraId="3C90D981" w14:textId="77777777" w:rsidR="00FD3A3B" w:rsidRPr="00FD3A3B" w:rsidRDefault="00FD3A3B" w:rsidP="00FD3A3B">
      <w:pPr>
        <w:pStyle w:val="ListParagraph"/>
        <w:numPr>
          <w:ilvl w:val="1"/>
          <w:numId w:val="6"/>
        </w:numPr>
        <w:spacing w:after="180"/>
        <w:ind w:left="786"/>
        <w:contextualSpacing w:val="0"/>
        <w:rPr>
          <w:lang w:val="fr-CA"/>
        </w:rPr>
      </w:pPr>
      <w:r w:rsidRPr="00FD3A3B">
        <w:rPr>
          <w:lang w:val="fr-CA"/>
        </w:rPr>
        <w:t>7 personnes décédées qui n'étaient pas éligibles à l'euthanasie.</w:t>
      </w:r>
    </w:p>
    <w:p w14:paraId="1BF508A6" w14:textId="77777777" w:rsidR="00FD3A3B" w:rsidRPr="00FD3A3B" w:rsidRDefault="00FD3A3B" w:rsidP="00FD3A3B">
      <w:pPr>
        <w:pStyle w:val="ListParagraph"/>
        <w:numPr>
          <w:ilvl w:val="1"/>
          <w:numId w:val="6"/>
        </w:numPr>
        <w:spacing w:after="180"/>
        <w:ind w:left="786"/>
        <w:contextualSpacing w:val="0"/>
        <w:rPr>
          <w:lang w:val="fr-CA"/>
        </w:rPr>
      </w:pPr>
      <w:r w:rsidRPr="00FD3A3B">
        <w:rPr>
          <w:lang w:val="fr-CA"/>
        </w:rPr>
        <w:t xml:space="preserve">Des centaines de cas où les médecins ne déposent pas de déclarations, refusaient ou étaient incapables de fournir les informations nécessaires pour déterminer si leurs actions sont </w:t>
      </w:r>
      <w:r w:rsidRPr="00FD3A3B">
        <w:rPr>
          <w:lang w:val="fr-CA"/>
        </w:rPr>
        <w:lastRenderedPageBreak/>
        <w:t>conformes aux mesures de protection ou si la personne était admissible à l’euthanasie.</w:t>
      </w:r>
    </w:p>
    <w:p w14:paraId="22599987" w14:textId="77777777" w:rsidR="00FD3A3B" w:rsidRPr="00FD3A3B" w:rsidRDefault="00FD3A3B" w:rsidP="00FD3A3B">
      <w:pPr>
        <w:pStyle w:val="ListParagraph"/>
        <w:numPr>
          <w:ilvl w:val="0"/>
          <w:numId w:val="6"/>
        </w:numPr>
        <w:spacing w:after="180"/>
        <w:contextualSpacing w:val="0"/>
        <w:rPr>
          <w:lang w:val="fr-CA"/>
        </w:rPr>
      </w:pPr>
      <w:r w:rsidRPr="00FD3A3B">
        <w:rPr>
          <w:lang w:val="fr-CA"/>
        </w:rPr>
        <w:t>N’y a-t-il pas suffisamment de preuves pour démontrer que quelque chose ne va pas? Pensez-y encore!</w:t>
      </w:r>
    </w:p>
    <w:p w14:paraId="39CCDDC6" w14:textId="5785F1A2" w:rsidR="00F95331" w:rsidRPr="00027DD6" w:rsidRDefault="00F95331" w:rsidP="00F95331">
      <w:pPr>
        <w:pStyle w:val="ListParagraph"/>
        <w:numPr>
          <w:ilvl w:val="0"/>
          <w:numId w:val="6"/>
        </w:numPr>
        <w:spacing w:after="180"/>
        <w:contextualSpacing w:val="0"/>
        <w:rPr>
          <w:color w:val="auto"/>
          <w:lang w:val="fr-CA"/>
        </w:rPr>
      </w:pPr>
    </w:p>
    <w:sectPr w:rsidR="00F95331" w:rsidRPr="00027DD6" w:rsidSect="003671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5113"/>
    <w:multiLevelType w:val="multilevel"/>
    <w:tmpl w:val="8F505848"/>
    <w:numStyleLink w:val="AmyFavList"/>
  </w:abstractNum>
  <w:abstractNum w:abstractNumId="1" w15:restartNumberingAfterBreak="0">
    <w:nsid w:val="06DF5A02"/>
    <w:multiLevelType w:val="multilevel"/>
    <w:tmpl w:val="8F505848"/>
    <w:numStyleLink w:val="AmyFavList"/>
  </w:abstractNum>
  <w:abstractNum w:abstractNumId="2" w15:restartNumberingAfterBreak="0">
    <w:nsid w:val="54F3319F"/>
    <w:multiLevelType w:val="hybridMultilevel"/>
    <w:tmpl w:val="B834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065711"/>
    <w:multiLevelType w:val="hybridMultilevel"/>
    <w:tmpl w:val="4AA0488A"/>
    <w:lvl w:ilvl="0" w:tplc="4D60E0D6">
      <w:start w:val="708"/>
      <w:numFmt w:val="bullet"/>
      <w:lvlText w:val=""/>
      <w:lvlJc w:val="left"/>
      <w:pPr>
        <w:ind w:left="720" w:hanging="360"/>
      </w:pPr>
      <w:rPr>
        <w:rFonts w:ascii="Symbol" w:eastAsiaTheme="minorHAnsi" w:hAnsi="Symbol" w:cs="Times New Roman (Body CS)" w:hint="default"/>
        <w:lang w:val="fr-C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BE491D8">
      <w:numFmt w:val="bullet"/>
      <w:lvlText w:val="•"/>
      <w:lvlJc w:val="left"/>
      <w:pPr>
        <w:ind w:left="2880" w:hanging="360"/>
      </w:pPr>
      <w:rPr>
        <w:rFonts w:ascii="Cambria" w:eastAsiaTheme="minorHAnsi" w:hAnsi="Cambria" w:cs="Times New Roman (Body C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2D5B48"/>
    <w:multiLevelType w:val="multilevel"/>
    <w:tmpl w:val="8F505848"/>
    <w:styleLink w:val="AmyFavList"/>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E112F55"/>
    <w:multiLevelType w:val="multilevel"/>
    <w:tmpl w:val="8F505848"/>
    <w:numStyleLink w:val="AmyFavList"/>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B09"/>
    <w:rsid w:val="00003827"/>
    <w:rsid w:val="00020EE7"/>
    <w:rsid w:val="00027DD6"/>
    <w:rsid w:val="000324F4"/>
    <w:rsid w:val="00034262"/>
    <w:rsid w:val="0004688B"/>
    <w:rsid w:val="0007709A"/>
    <w:rsid w:val="000C6644"/>
    <w:rsid w:val="00126305"/>
    <w:rsid w:val="00137BCA"/>
    <w:rsid w:val="001435E5"/>
    <w:rsid w:val="00147575"/>
    <w:rsid w:val="001551C3"/>
    <w:rsid w:val="001874B5"/>
    <w:rsid w:val="00193B06"/>
    <w:rsid w:val="001C2D01"/>
    <w:rsid w:val="001F5F3B"/>
    <w:rsid w:val="0020519D"/>
    <w:rsid w:val="00236607"/>
    <w:rsid w:val="002623A2"/>
    <w:rsid w:val="0028404C"/>
    <w:rsid w:val="00287921"/>
    <w:rsid w:val="002948B6"/>
    <w:rsid w:val="002B133C"/>
    <w:rsid w:val="002D39A5"/>
    <w:rsid w:val="003028BC"/>
    <w:rsid w:val="003354BA"/>
    <w:rsid w:val="00340260"/>
    <w:rsid w:val="00367185"/>
    <w:rsid w:val="003D066D"/>
    <w:rsid w:val="00407B09"/>
    <w:rsid w:val="00473C50"/>
    <w:rsid w:val="004A4270"/>
    <w:rsid w:val="004B2FE0"/>
    <w:rsid w:val="00505AF9"/>
    <w:rsid w:val="005142DA"/>
    <w:rsid w:val="00562C6A"/>
    <w:rsid w:val="00593724"/>
    <w:rsid w:val="005B2507"/>
    <w:rsid w:val="005B6F41"/>
    <w:rsid w:val="00637BA2"/>
    <w:rsid w:val="00657B79"/>
    <w:rsid w:val="007B226A"/>
    <w:rsid w:val="007B353C"/>
    <w:rsid w:val="007B373F"/>
    <w:rsid w:val="00810287"/>
    <w:rsid w:val="008225A7"/>
    <w:rsid w:val="00885582"/>
    <w:rsid w:val="0089082E"/>
    <w:rsid w:val="00892788"/>
    <w:rsid w:val="008A5FBA"/>
    <w:rsid w:val="008E34FB"/>
    <w:rsid w:val="0091108B"/>
    <w:rsid w:val="00921532"/>
    <w:rsid w:val="00951238"/>
    <w:rsid w:val="009656F9"/>
    <w:rsid w:val="00971D67"/>
    <w:rsid w:val="009A25A2"/>
    <w:rsid w:val="00A078FD"/>
    <w:rsid w:val="00A22FB2"/>
    <w:rsid w:val="00A33B0D"/>
    <w:rsid w:val="00A4131A"/>
    <w:rsid w:val="00A670B0"/>
    <w:rsid w:val="00B06F9E"/>
    <w:rsid w:val="00B25AE3"/>
    <w:rsid w:val="00B34ADB"/>
    <w:rsid w:val="00B43C95"/>
    <w:rsid w:val="00B534DE"/>
    <w:rsid w:val="00B7283E"/>
    <w:rsid w:val="00C47C9A"/>
    <w:rsid w:val="00CC3AC7"/>
    <w:rsid w:val="00D560B6"/>
    <w:rsid w:val="00D873AC"/>
    <w:rsid w:val="00D911FC"/>
    <w:rsid w:val="00DC4752"/>
    <w:rsid w:val="00E354E3"/>
    <w:rsid w:val="00EB1B93"/>
    <w:rsid w:val="00EF2D35"/>
    <w:rsid w:val="00F10113"/>
    <w:rsid w:val="00F7710D"/>
    <w:rsid w:val="00F8152D"/>
    <w:rsid w:val="00F86A1E"/>
    <w:rsid w:val="00F95331"/>
    <w:rsid w:val="00FB05A7"/>
    <w:rsid w:val="00FD3A3B"/>
    <w:rsid w:val="00FE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F5714"/>
  <w14:defaultImageDpi w14:val="32767"/>
  <w15:chartTrackingRefBased/>
  <w15:docId w15:val="{0FCAB64D-A4B0-4B44-BF94-0E306CE0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Body CS)"/>
        <w:bCs/>
        <w:color w:val="010101"/>
        <w:sz w:val="32"/>
        <w:szCs w:val="3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myFavList">
    <w:name w:val="AmyFavList"/>
    <w:uiPriority w:val="99"/>
    <w:rsid w:val="00657B79"/>
    <w:pPr>
      <w:numPr>
        <w:numId w:val="1"/>
      </w:numPr>
    </w:pPr>
  </w:style>
  <w:style w:type="paragraph" w:styleId="ListParagraph">
    <w:name w:val="List Paragraph"/>
    <w:basedOn w:val="Normal"/>
    <w:uiPriority w:val="34"/>
    <w:qFormat/>
    <w:rsid w:val="00407B09"/>
    <w:pPr>
      <w:ind w:left="720"/>
      <w:contextualSpacing/>
    </w:pPr>
  </w:style>
  <w:style w:type="paragraph" w:styleId="NormalWeb">
    <w:name w:val="Normal (Web)"/>
    <w:basedOn w:val="Normal"/>
    <w:uiPriority w:val="99"/>
    <w:semiHidden/>
    <w:unhideWhenUsed/>
    <w:rsid w:val="00593724"/>
    <w:rPr>
      <w:rFonts w:ascii="Times New Roman" w:hAnsi="Times New Roman" w:cs="Times New Roman"/>
      <w:sz w:val="24"/>
      <w:szCs w:val="24"/>
    </w:rPr>
  </w:style>
  <w:style w:type="character" w:styleId="Hyperlink">
    <w:name w:val="Hyperlink"/>
    <w:basedOn w:val="DefaultParagraphFont"/>
    <w:uiPriority w:val="99"/>
    <w:unhideWhenUsed/>
    <w:rsid w:val="00FD3A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3539">
      <w:bodyDiv w:val="1"/>
      <w:marLeft w:val="0"/>
      <w:marRight w:val="0"/>
      <w:marTop w:val="0"/>
      <w:marBottom w:val="0"/>
      <w:divBdr>
        <w:top w:val="none" w:sz="0" w:space="0" w:color="auto"/>
        <w:left w:val="none" w:sz="0" w:space="0" w:color="auto"/>
        <w:bottom w:val="none" w:sz="0" w:space="0" w:color="auto"/>
        <w:right w:val="none" w:sz="0" w:space="0" w:color="auto"/>
      </w:divBdr>
      <w:divsChild>
        <w:div w:id="1134787389">
          <w:marLeft w:val="0"/>
          <w:marRight w:val="0"/>
          <w:marTop w:val="0"/>
          <w:marBottom w:val="0"/>
          <w:divBdr>
            <w:top w:val="none" w:sz="0" w:space="0" w:color="auto"/>
            <w:left w:val="none" w:sz="0" w:space="0" w:color="auto"/>
            <w:bottom w:val="none" w:sz="0" w:space="0" w:color="auto"/>
            <w:right w:val="none" w:sz="0" w:space="0" w:color="auto"/>
          </w:divBdr>
          <w:divsChild>
            <w:div w:id="1331107266">
              <w:marLeft w:val="0"/>
              <w:marRight w:val="0"/>
              <w:marTop w:val="0"/>
              <w:marBottom w:val="0"/>
              <w:divBdr>
                <w:top w:val="none" w:sz="0" w:space="0" w:color="auto"/>
                <w:left w:val="none" w:sz="0" w:space="0" w:color="auto"/>
                <w:bottom w:val="none" w:sz="0" w:space="0" w:color="auto"/>
                <w:right w:val="none" w:sz="0" w:space="0" w:color="auto"/>
              </w:divBdr>
              <w:divsChild>
                <w:div w:id="11708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0283">
      <w:bodyDiv w:val="1"/>
      <w:marLeft w:val="0"/>
      <w:marRight w:val="0"/>
      <w:marTop w:val="0"/>
      <w:marBottom w:val="0"/>
      <w:divBdr>
        <w:top w:val="none" w:sz="0" w:space="0" w:color="auto"/>
        <w:left w:val="none" w:sz="0" w:space="0" w:color="auto"/>
        <w:bottom w:val="none" w:sz="0" w:space="0" w:color="auto"/>
        <w:right w:val="none" w:sz="0" w:space="0" w:color="auto"/>
      </w:divBdr>
      <w:divsChild>
        <w:div w:id="440685801">
          <w:marLeft w:val="0"/>
          <w:marRight w:val="0"/>
          <w:marTop w:val="0"/>
          <w:marBottom w:val="0"/>
          <w:divBdr>
            <w:top w:val="none" w:sz="0" w:space="0" w:color="auto"/>
            <w:left w:val="none" w:sz="0" w:space="0" w:color="auto"/>
            <w:bottom w:val="none" w:sz="0" w:space="0" w:color="auto"/>
            <w:right w:val="none" w:sz="0" w:space="0" w:color="auto"/>
          </w:divBdr>
          <w:divsChild>
            <w:div w:id="708455037">
              <w:marLeft w:val="0"/>
              <w:marRight w:val="0"/>
              <w:marTop w:val="0"/>
              <w:marBottom w:val="0"/>
              <w:divBdr>
                <w:top w:val="none" w:sz="0" w:space="0" w:color="auto"/>
                <w:left w:val="none" w:sz="0" w:space="0" w:color="auto"/>
                <w:bottom w:val="none" w:sz="0" w:space="0" w:color="auto"/>
                <w:right w:val="none" w:sz="0" w:space="0" w:color="auto"/>
              </w:divBdr>
              <w:divsChild>
                <w:div w:id="25837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16383">
      <w:bodyDiv w:val="1"/>
      <w:marLeft w:val="0"/>
      <w:marRight w:val="0"/>
      <w:marTop w:val="0"/>
      <w:marBottom w:val="0"/>
      <w:divBdr>
        <w:top w:val="none" w:sz="0" w:space="0" w:color="auto"/>
        <w:left w:val="none" w:sz="0" w:space="0" w:color="auto"/>
        <w:bottom w:val="none" w:sz="0" w:space="0" w:color="auto"/>
        <w:right w:val="none" w:sz="0" w:space="0" w:color="auto"/>
      </w:divBdr>
      <w:divsChild>
        <w:div w:id="6909014">
          <w:marLeft w:val="0"/>
          <w:marRight w:val="0"/>
          <w:marTop w:val="0"/>
          <w:marBottom w:val="0"/>
          <w:divBdr>
            <w:top w:val="none" w:sz="0" w:space="0" w:color="auto"/>
            <w:left w:val="none" w:sz="0" w:space="0" w:color="auto"/>
            <w:bottom w:val="none" w:sz="0" w:space="0" w:color="auto"/>
            <w:right w:val="none" w:sz="0" w:space="0" w:color="auto"/>
          </w:divBdr>
          <w:divsChild>
            <w:div w:id="884608474">
              <w:marLeft w:val="0"/>
              <w:marRight w:val="0"/>
              <w:marTop w:val="0"/>
              <w:marBottom w:val="0"/>
              <w:divBdr>
                <w:top w:val="none" w:sz="0" w:space="0" w:color="auto"/>
                <w:left w:val="none" w:sz="0" w:space="0" w:color="auto"/>
                <w:bottom w:val="none" w:sz="0" w:space="0" w:color="auto"/>
                <w:right w:val="none" w:sz="0" w:space="0" w:color="auto"/>
              </w:divBdr>
              <w:divsChild>
                <w:div w:id="4349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1118">
      <w:bodyDiv w:val="1"/>
      <w:marLeft w:val="0"/>
      <w:marRight w:val="0"/>
      <w:marTop w:val="0"/>
      <w:marBottom w:val="0"/>
      <w:divBdr>
        <w:top w:val="none" w:sz="0" w:space="0" w:color="auto"/>
        <w:left w:val="none" w:sz="0" w:space="0" w:color="auto"/>
        <w:bottom w:val="none" w:sz="0" w:space="0" w:color="auto"/>
        <w:right w:val="none" w:sz="0" w:space="0" w:color="auto"/>
      </w:divBdr>
      <w:divsChild>
        <w:div w:id="1907105714">
          <w:marLeft w:val="0"/>
          <w:marRight w:val="0"/>
          <w:marTop w:val="0"/>
          <w:marBottom w:val="0"/>
          <w:divBdr>
            <w:top w:val="none" w:sz="0" w:space="0" w:color="auto"/>
            <w:left w:val="none" w:sz="0" w:space="0" w:color="auto"/>
            <w:bottom w:val="none" w:sz="0" w:space="0" w:color="auto"/>
            <w:right w:val="none" w:sz="0" w:space="0" w:color="auto"/>
          </w:divBdr>
          <w:divsChild>
            <w:div w:id="702247423">
              <w:marLeft w:val="0"/>
              <w:marRight w:val="0"/>
              <w:marTop w:val="0"/>
              <w:marBottom w:val="0"/>
              <w:divBdr>
                <w:top w:val="none" w:sz="0" w:space="0" w:color="auto"/>
                <w:left w:val="none" w:sz="0" w:space="0" w:color="auto"/>
                <w:bottom w:val="none" w:sz="0" w:space="0" w:color="auto"/>
                <w:right w:val="none" w:sz="0" w:space="0" w:color="auto"/>
              </w:divBdr>
              <w:divsChild>
                <w:div w:id="11132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67455">
      <w:bodyDiv w:val="1"/>
      <w:marLeft w:val="0"/>
      <w:marRight w:val="0"/>
      <w:marTop w:val="0"/>
      <w:marBottom w:val="0"/>
      <w:divBdr>
        <w:top w:val="none" w:sz="0" w:space="0" w:color="auto"/>
        <w:left w:val="none" w:sz="0" w:space="0" w:color="auto"/>
        <w:bottom w:val="none" w:sz="0" w:space="0" w:color="auto"/>
        <w:right w:val="none" w:sz="0" w:space="0" w:color="auto"/>
      </w:divBdr>
      <w:divsChild>
        <w:div w:id="1318995629">
          <w:marLeft w:val="0"/>
          <w:marRight w:val="0"/>
          <w:marTop w:val="0"/>
          <w:marBottom w:val="0"/>
          <w:divBdr>
            <w:top w:val="none" w:sz="0" w:space="0" w:color="auto"/>
            <w:left w:val="none" w:sz="0" w:space="0" w:color="auto"/>
            <w:bottom w:val="none" w:sz="0" w:space="0" w:color="auto"/>
            <w:right w:val="none" w:sz="0" w:space="0" w:color="auto"/>
          </w:divBdr>
          <w:divsChild>
            <w:div w:id="1343778422">
              <w:marLeft w:val="0"/>
              <w:marRight w:val="0"/>
              <w:marTop w:val="0"/>
              <w:marBottom w:val="0"/>
              <w:divBdr>
                <w:top w:val="none" w:sz="0" w:space="0" w:color="auto"/>
                <w:left w:val="none" w:sz="0" w:space="0" w:color="auto"/>
                <w:bottom w:val="none" w:sz="0" w:space="0" w:color="auto"/>
                <w:right w:val="none" w:sz="0" w:space="0" w:color="auto"/>
              </w:divBdr>
              <w:divsChild>
                <w:div w:id="12099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23074">
      <w:bodyDiv w:val="1"/>
      <w:marLeft w:val="0"/>
      <w:marRight w:val="0"/>
      <w:marTop w:val="0"/>
      <w:marBottom w:val="0"/>
      <w:divBdr>
        <w:top w:val="none" w:sz="0" w:space="0" w:color="auto"/>
        <w:left w:val="none" w:sz="0" w:space="0" w:color="auto"/>
        <w:bottom w:val="none" w:sz="0" w:space="0" w:color="auto"/>
        <w:right w:val="none" w:sz="0" w:space="0" w:color="auto"/>
      </w:divBdr>
      <w:divsChild>
        <w:div w:id="1918129301">
          <w:marLeft w:val="0"/>
          <w:marRight w:val="0"/>
          <w:marTop w:val="0"/>
          <w:marBottom w:val="0"/>
          <w:divBdr>
            <w:top w:val="none" w:sz="0" w:space="0" w:color="auto"/>
            <w:left w:val="none" w:sz="0" w:space="0" w:color="auto"/>
            <w:bottom w:val="none" w:sz="0" w:space="0" w:color="auto"/>
            <w:right w:val="none" w:sz="0" w:space="0" w:color="auto"/>
          </w:divBdr>
          <w:divsChild>
            <w:div w:id="1897011521">
              <w:marLeft w:val="0"/>
              <w:marRight w:val="0"/>
              <w:marTop w:val="0"/>
              <w:marBottom w:val="0"/>
              <w:divBdr>
                <w:top w:val="none" w:sz="0" w:space="0" w:color="auto"/>
                <w:left w:val="none" w:sz="0" w:space="0" w:color="auto"/>
                <w:bottom w:val="none" w:sz="0" w:space="0" w:color="auto"/>
                <w:right w:val="none" w:sz="0" w:space="0" w:color="auto"/>
              </w:divBdr>
              <w:divsChild>
                <w:div w:id="11185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13978">
      <w:bodyDiv w:val="1"/>
      <w:marLeft w:val="0"/>
      <w:marRight w:val="0"/>
      <w:marTop w:val="0"/>
      <w:marBottom w:val="0"/>
      <w:divBdr>
        <w:top w:val="none" w:sz="0" w:space="0" w:color="auto"/>
        <w:left w:val="none" w:sz="0" w:space="0" w:color="auto"/>
        <w:bottom w:val="none" w:sz="0" w:space="0" w:color="auto"/>
        <w:right w:val="none" w:sz="0" w:space="0" w:color="auto"/>
      </w:divBdr>
      <w:divsChild>
        <w:div w:id="533808042">
          <w:marLeft w:val="0"/>
          <w:marRight w:val="0"/>
          <w:marTop w:val="0"/>
          <w:marBottom w:val="0"/>
          <w:divBdr>
            <w:top w:val="none" w:sz="0" w:space="0" w:color="auto"/>
            <w:left w:val="none" w:sz="0" w:space="0" w:color="auto"/>
            <w:bottom w:val="none" w:sz="0" w:space="0" w:color="auto"/>
            <w:right w:val="none" w:sz="0" w:space="0" w:color="auto"/>
          </w:divBdr>
          <w:divsChild>
            <w:div w:id="1187477763">
              <w:marLeft w:val="0"/>
              <w:marRight w:val="0"/>
              <w:marTop w:val="0"/>
              <w:marBottom w:val="0"/>
              <w:divBdr>
                <w:top w:val="none" w:sz="0" w:space="0" w:color="auto"/>
                <w:left w:val="none" w:sz="0" w:space="0" w:color="auto"/>
                <w:bottom w:val="none" w:sz="0" w:space="0" w:color="auto"/>
                <w:right w:val="none" w:sz="0" w:space="0" w:color="auto"/>
              </w:divBdr>
              <w:divsChild>
                <w:div w:id="122814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3798">
      <w:bodyDiv w:val="1"/>
      <w:marLeft w:val="0"/>
      <w:marRight w:val="0"/>
      <w:marTop w:val="0"/>
      <w:marBottom w:val="0"/>
      <w:divBdr>
        <w:top w:val="none" w:sz="0" w:space="0" w:color="auto"/>
        <w:left w:val="none" w:sz="0" w:space="0" w:color="auto"/>
        <w:bottom w:val="none" w:sz="0" w:space="0" w:color="auto"/>
        <w:right w:val="none" w:sz="0" w:space="0" w:color="auto"/>
      </w:divBdr>
      <w:divsChild>
        <w:div w:id="1361979745">
          <w:marLeft w:val="0"/>
          <w:marRight w:val="0"/>
          <w:marTop w:val="0"/>
          <w:marBottom w:val="0"/>
          <w:divBdr>
            <w:top w:val="none" w:sz="0" w:space="0" w:color="auto"/>
            <w:left w:val="none" w:sz="0" w:space="0" w:color="auto"/>
            <w:bottom w:val="none" w:sz="0" w:space="0" w:color="auto"/>
            <w:right w:val="none" w:sz="0" w:space="0" w:color="auto"/>
          </w:divBdr>
          <w:divsChild>
            <w:div w:id="656615512">
              <w:marLeft w:val="0"/>
              <w:marRight w:val="0"/>
              <w:marTop w:val="0"/>
              <w:marBottom w:val="0"/>
              <w:divBdr>
                <w:top w:val="none" w:sz="0" w:space="0" w:color="auto"/>
                <w:left w:val="none" w:sz="0" w:space="0" w:color="auto"/>
                <w:bottom w:val="none" w:sz="0" w:space="0" w:color="auto"/>
                <w:right w:val="none" w:sz="0" w:space="0" w:color="auto"/>
              </w:divBdr>
              <w:divsChild>
                <w:div w:id="56518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vndy.ca/category/bibliotheque/rapports-documents/" TargetMode="External"/><Relationship Id="rId5" Type="http://schemas.openxmlformats.org/officeDocument/2006/relationships/hyperlink" Target="https://www.dropbox.com/s/1mvo0pi60lyimfg/3e%20Rapport%20annuel%20de%20la%20CSFV_1er%20juillet%202017%20au%2031%20mars%202018.pdf?d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11</Pages>
  <Words>2081</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Toujours Vivant -- Not Dead Yet</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Hasbrouck</dc:creator>
  <cp:keywords/>
  <dc:description/>
  <cp:lastModifiedBy>Taylor Hyatt</cp:lastModifiedBy>
  <cp:revision>9</cp:revision>
  <dcterms:created xsi:type="dcterms:W3CDTF">2018-12-13T17:00:00Z</dcterms:created>
  <dcterms:modified xsi:type="dcterms:W3CDTF">2018-12-14T23:19:00Z</dcterms:modified>
</cp:coreProperties>
</file>