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D5B3" w14:textId="429402A4" w:rsidR="00EA37BE" w:rsidRPr="00892788" w:rsidRDefault="00407B09">
      <w:r w:rsidRPr="00892788">
        <w:t>QC CSFV Report #3</w:t>
      </w:r>
    </w:p>
    <w:p w14:paraId="0EC7066B" w14:textId="77777777" w:rsidR="00CC3AC7" w:rsidRPr="00892788" w:rsidRDefault="00CC3AC7"/>
    <w:p w14:paraId="3F1827FE" w14:textId="4C691DE0" w:rsidR="00CC3AC7" w:rsidRPr="00892788" w:rsidRDefault="00CC3AC7">
      <w:pPr>
        <w:rPr>
          <w:b/>
          <w:color w:val="7030A0"/>
        </w:rPr>
      </w:pPr>
      <w:r w:rsidRPr="00892788">
        <w:rPr>
          <w:b/>
          <w:color w:val="7030A0"/>
        </w:rPr>
        <w:t>Current reporting period</w:t>
      </w:r>
    </w:p>
    <w:p w14:paraId="43362744" w14:textId="044DFE0F" w:rsidR="00407B09" w:rsidRPr="00892788" w:rsidRDefault="00407B09">
      <w:pPr>
        <w:rPr>
          <w:color w:val="7030A0"/>
        </w:rPr>
      </w:pPr>
      <w:r w:rsidRPr="00892788">
        <w:rPr>
          <w:color w:val="7030A0"/>
        </w:rPr>
        <w:t>July 1, 2017-March 31, 2018</w:t>
      </w:r>
    </w:p>
    <w:p w14:paraId="6D004899" w14:textId="3EEE1124" w:rsidR="00407B09" w:rsidRPr="00892788" w:rsidRDefault="00407B09"/>
    <w:p w14:paraId="4E1459C9" w14:textId="59DD6657" w:rsidR="00407B09" w:rsidRPr="00892788" w:rsidRDefault="00407B09">
      <w:r w:rsidRPr="00892788">
        <w:t>Period is altered to coincide with Québec’s fiscal year. Subsequent reports will be from April 1 to March 31.</w:t>
      </w:r>
    </w:p>
    <w:p w14:paraId="2103C649" w14:textId="1DAC09B9" w:rsidR="00407B09" w:rsidRPr="00892788" w:rsidRDefault="00407B09"/>
    <w:p w14:paraId="593EC962" w14:textId="4F55A5DD" w:rsidR="00FB05A7" w:rsidRPr="00892788" w:rsidRDefault="001C2D01">
      <w:r w:rsidRPr="00892788">
        <w:t>FORMS DOCUMENTING EUTHANASIA SUBMITTED BY DOCTORS</w:t>
      </w:r>
    </w:p>
    <w:p w14:paraId="704D3DE4" w14:textId="77777777" w:rsidR="00FB05A7" w:rsidRPr="00892788" w:rsidRDefault="00FB05A7"/>
    <w:p w14:paraId="6BFDCA2F" w14:textId="739E0F6C" w:rsidR="00407B09" w:rsidRPr="00892788" w:rsidRDefault="00407B09">
      <w:r w:rsidRPr="00892788">
        <w:rPr>
          <w:color w:val="FF0000"/>
        </w:rPr>
        <w:t>708 forms</w:t>
      </w:r>
      <w:r w:rsidRPr="00892788">
        <w:t xml:space="preserve"> </w:t>
      </w:r>
      <w:r w:rsidRPr="00892788">
        <w:rPr>
          <w:i/>
          <w:color w:val="0070C0"/>
        </w:rPr>
        <w:t>received</w:t>
      </w:r>
      <w:r w:rsidRPr="00892788">
        <w:rPr>
          <w:color w:val="0070C0"/>
        </w:rPr>
        <w:t xml:space="preserve"> </w:t>
      </w:r>
      <w:r w:rsidR="00562C6A" w:rsidRPr="00892788">
        <w:t>1/7</w:t>
      </w:r>
      <w:r w:rsidRPr="00892788">
        <w:t xml:space="preserve">/17 </w:t>
      </w:r>
      <w:r w:rsidR="00CC3AC7" w:rsidRPr="00892788">
        <w:t xml:space="preserve">to </w:t>
      </w:r>
      <w:r w:rsidRPr="00892788">
        <w:t>3</w:t>
      </w:r>
      <w:r w:rsidR="00562C6A" w:rsidRPr="00892788">
        <w:t>1</w:t>
      </w:r>
      <w:r w:rsidRPr="00892788">
        <w:t>/3/18</w:t>
      </w:r>
    </w:p>
    <w:p w14:paraId="327562C0" w14:textId="03817695" w:rsidR="00407B09" w:rsidRPr="00892788" w:rsidRDefault="00407B09" w:rsidP="00407B09">
      <w:pPr>
        <w:pStyle w:val="ListParagraph"/>
        <w:numPr>
          <w:ilvl w:val="0"/>
          <w:numId w:val="2"/>
        </w:numPr>
      </w:pPr>
      <w:r w:rsidRPr="00892788">
        <w:t xml:space="preserve">Includes </w:t>
      </w:r>
      <w:r w:rsidR="00F7710D" w:rsidRPr="00892788">
        <w:t>42 forms received 30+ days after E</w:t>
      </w:r>
    </w:p>
    <w:p w14:paraId="18AEE4A2" w14:textId="6E4472F4" w:rsidR="00F7710D" w:rsidRPr="00892788" w:rsidRDefault="00F7710D" w:rsidP="00F7710D">
      <w:pPr>
        <w:pStyle w:val="ListParagraph"/>
        <w:numPr>
          <w:ilvl w:val="1"/>
          <w:numId w:val="2"/>
        </w:numPr>
      </w:pPr>
      <w:r w:rsidRPr="00892788">
        <w:t xml:space="preserve">Of which 5 were from </w:t>
      </w:r>
      <w:r w:rsidR="0089082E" w:rsidRPr="00892788">
        <w:t xml:space="preserve">euthanasia </w:t>
      </w:r>
      <w:r w:rsidRPr="00892788">
        <w:t>in 2016</w:t>
      </w:r>
    </w:p>
    <w:p w14:paraId="719F9AF1" w14:textId="595C8A85" w:rsidR="00F7710D" w:rsidRPr="00892788" w:rsidRDefault="00F7710D" w:rsidP="00F7710D"/>
    <w:p w14:paraId="4E3AEBE1" w14:textId="3A5569F2" w:rsidR="00F7710D" w:rsidRPr="00892788" w:rsidRDefault="00F7710D" w:rsidP="00F7710D">
      <w:r w:rsidRPr="00892788">
        <w:t xml:space="preserve">782 forms </w:t>
      </w:r>
      <w:r w:rsidRPr="00892788">
        <w:rPr>
          <w:i/>
          <w:color w:val="0070C0"/>
        </w:rPr>
        <w:t>examined</w:t>
      </w:r>
      <w:r w:rsidRPr="00892788">
        <w:rPr>
          <w:color w:val="0070C0"/>
        </w:rPr>
        <w:t xml:space="preserve"> </w:t>
      </w:r>
      <w:r w:rsidR="002D39A5" w:rsidRPr="00892788">
        <w:t>from</w:t>
      </w:r>
      <w:r w:rsidRPr="00892788">
        <w:t xml:space="preserve"> </w:t>
      </w:r>
      <w:r w:rsidR="00562C6A" w:rsidRPr="00892788">
        <w:t>1</w:t>
      </w:r>
      <w:r w:rsidRPr="00892788">
        <w:t>/</w:t>
      </w:r>
      <w:r w:rsidR="00562C6A" w:rsidRPr="00892788">
        <w:t>7</w:t>
      </w:r>
      <w:r w:rsidRPr="00892788">
        <w:t xml:space="preserve">/17 </w:t>
      </w:r>
      <w:r w:rsidR="002D39A5" w:rsidRPr="00892788">
        <w:t xml:space="preserve">to </w:t>
      </w:r>
      <w:r w:rsidRPr="00892788">
        <w:t>3</w:t>
      </w:r>
      <w:r w:rsidR="00562C6A" w:rsidRPr="00892788">
        <w:t>1</w:t>
      </w:r>
      <w:r w:rsidRPr="00892788">
        <w:t>/3/18</w:t>
      </w:r>
    </w:p>
    <w:p w14:paraId="2118DF9B" w14:textId="4DD61BD7" w:rsidR="00F7710D" w:rsidRPr="00892788" w:rsidRDefault="00F7710D" w:rsidP="00F7710D">
      <w:pPr>
        <w:pStyle w:val="ListParagraph"/>
        <w:numPr>
          <w:ilvl w:val="0"/>
          <w:numId w:val="2"/>
        </w:numPr>
      </w:pPr>
      <w:r w:rsidRPr="00892788">
        <w:t xml:space="preserve">741 were evaluated </w:t>
      </w:r>
      <w:r w:rsidRPr="00892788">
        <w:rPr>
          <w:i/>
        </w:rPr>
        <w:t>for the first time</w:t>
      </w:r>
    </w:p>
    <w:p w14:paraId="49D2C864" w14:textId="50745F4E" w:rsidR="00F7710D" w:rsidRPr="00892788" w:rsidRDefault="00F7710D" w:rsidP="00F7710D">
      <w:pPr>
        <w:pStyle w:val="ListParagraph"/>
        <w:numPr>
          <w:ilvl w:val="1"/>
          <w:numId w:val="2"/>
        </w:numPr>
      </w:pPr>
      <w:r w:rsidRPr="00892788">
        <w:t xml:space="preserve">658 were received </w:t>
      </w:r>
      <w:r w:rsidRPr="00892788">
        <w:rPr>
          <w:i/>
          <w:color w:val="C00000"/>
        </w:rPr>
        <w:t>during</w:t>
      </w:r>
      <w:r w:rsidRPr="00892788">
        <w:t xml:space="preserve"> the current period</w:t>
      </w:r>
    </w:p>
    <w:p w14:paraId="0FF138FC" w14:textId="5F23245C" w:rsidR="00F7710D" w:rsidRPr="00892788" w:rsidRDefault="00F7710D" w:rsidP="00F7710D">
      <w:pPr>
        <w:pStyle w:val="ListParagraph"/>
        <w:numPr>
          <w:ilvl w:val="1"/>
          <w:numId w:val="2"/>
        </w:numPr>
      </w:pPr>
      <w:r w:rsidRPr="00892788">
        <w:t xml:space="preserve">83 were received </w:t>
      </w:r>
      <w:r w:rsidRPr="00892788">
        <w:rPr>
          <w:i/>
          <w:color w:val="C00000"/>
        </w:rPr>
        <w:t>before</w:t>
      </w:r>
      <w:r w:rsidRPr="00892788">
        <w:rPr>
          <w:color w:val="C00000"/>
        </w:rPr>
        <w:t xml:space="preserve"> </w:t>
      </w:r>
      <w:r w:rsidRPr="00892788">
        <w:t xml:space="preserve">the </w:t>
      </w:r>
      <w:r w:rsidR="00DC4752" w:rsidRPr="00892788">
        <w:t>current</w:t>
      </w:r>
      <w:r w:rsidRPr="00892788">
        <w:t xml:space="preserve"> period but had not yet been examined.</w:t>
      </w:r>
    </w:p>
    <w:p w14:paraId="2F5422CC" w14:textId="22A9AEFC" w:rsidR="00F7710D" w:rsidRPr="00892788" w:rsidRDefault="00F7710D" w:rsidP="00F7710D">
      <w:pPr>
        <w:pStyle w:val="ListParagraph"/>
        <w:numPr>
          <w:ilvl w:val="0"/>
          <w:numId w:val="2"/>
        </w:numPr>
      </w:pPr>
      <w:r w:rsidRPr="00892788">
        <w:t>41 forms were re-examined following receipt of more information</w:t>
      </w:r>
    </w:p>
    <w:p w14:paraId="797062DA" w14:textId="0BE0C484" w:rsidR="00407B09" w:rsidRPr="00892788" w:rsidRDefault="00407B09"/>
    <w:p w14:paraId="48DFB892" w14:textId="05D5161A" w:rsidR="00562C6A" w:rsidRPr="00892788" w:rsidRDefault="00562C6A">
      <w:r w:rsidRPr="00892788">
        <w:t xml:space="preserve">741 forms </w:t>
      </w:r>
      <w:r w:rsidR="002D39A5" w:rsidRPr="00892788">
        <w:t xml:space="preserve">were </w:t>
      </w:r>
      <w:r w:rsidR="0007709A" w:rsidRPr="00892788">
        <w:rPr>
          <w:color w:val="auto"/>
        </w:rPr>
        <w:t>examined</w:t>
      </w:r>
      <w:r w:rsidR="0007709A" w:rsidRPr="00892788">
        <w:rPr>
          <w:color w:val="00B050"/>
        </w:rPr>
        <w:t xml:space="preserve"> </w:t>
      </w:r>
      <w:r w:rsidRPr="00892788">
        <w:rPr>
          <w:i/>
          <w:color w:val="0070C0"/>
        </w:rPr>
        <w:t>for the first time</w:t>
      </w:r>
      <w:r w:rsidRPr="00892788">
        <w:rPr>
          <w:color w:val="0070C0"/>
        </w:rPr>
        <w:t xml:space="preserve"> </w:t>
      </w:r>
      <w:r w:rsidR="002D39A5" w:rsidRPr="00892788">
        <w:t xml:space="preserve">from </w:t>
      </w:r>
      <w:r w:rsidRPr="00892788">
        <w:t xml:space="preserve">1/7/17 </w:t>
      </w:r>
      <w:r w:rsidR="002D39A5" w:rsidRPr="00892788">
        <w:t xml:space="preserve">to </w:t>
      </w:r>
      <w:r w:rsidRPr="00892788">
        <w:t>31/3/18</w:t>
      </w:r>
    </w:p>
    <w:p w14:paraId="4FC93076" w14:textId="2ACB4CC6" w:rsidR="00562C6A" w:rsidRPr="00892788" w:rsidRDefault="00562C6A" w:rsidP="00562C6A">
      <w:pPr>
        <w:pStyle w:val="ListParagraph"/>
        <w:numPr>
          <w:ilvl w:val="0"/>
          <w:numId w:val="2"/>
        </w:numPr>
      </w:pPr>
      <w:r w:rsidRPr="00892788">
        <w:t>45% (334) required follow-up</w:t>
      </w:r>
    </w:p>
    <w:p w14:paraId="78D0D516" w14:textId="23865657" w:rsidR="00562C6A" w:rsidRPr="00892788" w:rsidRDefault="00562C6A" w:rsidP="00562C6A">
      <w:pPr>
        <w:pStyle w:val="ListParagraph"/>
        <w:numPr>
          <w:ilvl w:val="1"/>
          <w:numId w:val="2"/>
        </w:numPr>
      </w:pPr>
      <w:r w:rsidRPr="00892788">
        <w:t>11% (80) needed phone follow up for information</w:t>
      </w:r>
    </w:p>
    <w:p w14:paraId="03EA69B9" w14:textId="77777777" w:rsidR="00562C6A" w:rsidRPr="00892788" w:rsidRDefault="00562C6A" w:rsidP="00562C6A">
      <w:pPr>
        <w:pStyle w:val="ListParagraph"/>
        <w:numPr>
          <w:ilvl w:val="1"/>
          <w:numId w:val="2"/>
        </w:numPr>
      </w:pPr>
      <w:r w:rsidRPr="00892788">
        <w:t>38% (281) written follow-up for more information</w:t>
      </w:r>
    </w:p>
    <w:p w14:paraId="73AB0BA3" w14:textId="1EACB2BF" w:rsidR="00562C6A" w:rsidRPr="00892788" w:rsidRDefault="00562C6A" w:rsidP="00562C6A">
      <w:pPr>
        <w:pStyle w:val="ListParagraph"/>
        <w:numPr>
          <w:ilvl w:val="2"/>
          <w:numId w:val="2"/>
        </w:numPr>
      </w:pPr>
      <w:r w:rsidRPr="00892788">
        <w:t>9.4% (70) forms required a second written request for info.</w:t>
      </w:r>
    </w:p>
    <w:p w14:paraId="6251FDE9" w14:textId="367C8E46" w:rsidR="00562C6A" w:rsidRPr="00892788" w:rsidRDefault="00562C6A" w:rsidP="00562C6A">
      <w:pPr>
        <w:pStyle w:val="ListParagraph"/>
        <w:numPr>
          <w:ilvl w:val="0"/>
          <w:numId w:val="2"/>
        </w:numPr>
      </w:pPr>
      <w:r w:rsidRPr="00892788">
        <w:t xml:space="preserve">34% </w:t>
      </w:r>
      <w:r w:rsidR="0028404C" w:rsidRPr="00892788">
        <w:t xml:space="preserve">(255) </w:t>
      </w:r>
      <w:r w:rsidRPr="00892788">
        <w:t xml:space="preserve">were evaluated </w:t>
      </w:r>
      <w:r w:rsidR="00DC4752" w:rsidRPr="00892788">
        <w:t>upon receipt of</w:t>
      </w:r>
      <w:r w:rsidR="0028404C" w:rsidRPr="00892788">
        <w:t xml:space="preserve"> additional information.</w:t>
      </w:r>
    </w:p>
    <w:p w14:paraId="41999C79" w14:textId="7E29A2AC" w:rsidR="0028404C" w:rsidRPr="00892788" w:rsidRDefault="0028404C" w:rsidP="0028404C"/>
    <w:p w14:paraId="1E52AB7B" w14:textId="6D4DA784" w:rsidR="0028404C" w:rsidRPr="00892788" w:rsidRDefault="0028404C" w:rsidP="0028404C">
      <w:r w:rsidRPr="00892788">
        <w:t xml:space="preserve">On 31/3/18, 50 forms were </w:t>
      </w:r>
      <w:r w:rsidRPr="00892788">
        <w:rPr>
          <w:i/>
          <w:color w:val="FFC000"/>
        </w:rPr>
        <w:t>waiting to be</w:t>
      </w:r>
      <w:r w:rsidRPr="00892788">
        <w:rPr>
          <w:color w:val="FFC000"/>
        </w:rPr>
        <w:t xml:space="preserve"> </w:t>
      </w:r>
      <w:r w:rsidR="002D39A5" w:rsidRPr="00892788">
        <w:rPr>
          <w:color w:val="FFC000"/>
        </w:rPr>
        <w:t>examined</w:t>
      </w:r>
      <w:r w:rsidRPr="00892788">
        <w:t>.  All but one have since been examined.</w:t>
      </w:r>
    </w:p>
    <w:p w14:paraId="061FDB3F" w14:textId="0F2AB4DD" w:rsidR="0028404C" w:rsidRPr="00892788" w:rsidRDefault="0028404C" w:rsidP="0028404C"/>
    <w:p w14:paraId="746945DE" w14:textId="4D7BC12A" w:rsidR="0028404C" w:rsidRPr="00892788" w:rsidRDefault="002D39A5" w:rsidP="0028404C">
      <w:r w:rsidRPr="00892788">
        <w:lastRenderedPageBreak/>
        <w:t xml:space="preserve">727 cases were </w:t>
      </w:r>
      <w:r w:rsidR="00505AF9" w:rsidRPr="00892788">
        <w:rPr>
          <w:i/>
          <w:color w:val="0070C0"/>
        </w:rPr>
        <w:t>decided</w:t>
      </w:r>
      <w:r w:rsidR="00505AF9" w:rsidRPr="00892788">
        <w:rPr>
          <w:color w:val="0070C0"/>
        </w:rPr>
        <w:t xml:space="preserve"> </w:t>
      </w:r>
      <w:r w:rsidRPr="00892788">
        <w:t xml:space="preserve">from </w:t>
      </w:r>
      <w:r w:rsidR="00EB1B93" w:rsidRPr="00892788">
        <w:t xml:space="preserve">1/7/17 </w:t>
      </w:r>
      <w:r w:rsidRPr="00892788">
        <w:t xml:space="preserve">to </w:t>
      </w:r>
      <w:r w:rsidR="00EB1B93" w:rsidRPr="00892788">
        <w:t>31/3/18</w:t>
      </w:r>
    </w:p>
    <w:p w14:paraId="552F1AD7" w14:textId="4E9EB3B9" w:rsidR="00EB1B93" w:rsidRPr="00892788" w:rsidRDefault="00EB1B93" w:rsidP="00EB1B93">
      <w:pPr>
        <w:pStyle w:val="ListParagraph"/>
        <w:numPr>
          <w:ilvl w:val="0"/>
          <w:numId w:val="2"/>
        </w:numPr>
      </w:pPr>
      <w:r w:rsidRPr="00892788">
        <w:t xml:space="preserve">713 </w:t>
      </w:r>
      <w:r w:rsidR="0007709A" w:rsidRPr="00892788">
        <w:t xml:space="preserve">cases received and examined for the first time </w:t>
      </w:r>
      <w:r w:rsidRPr="00892788">
        <w:t>this year</w:t>
      </w:r>
    </w:p>
    <w:p w14:paraId="0B8D6AA3" w14:textId="5EFE642D" w:rsidR="00EB1B93" w:rsidRPr="00892788" w:rsidRDefault="00EB1B93" w:rsidP="00EB1B93">
      <w:pPr>
        <w:pStyle w:val="ListParagraph"/>
        <w:numPr>
          <w:ilvl w:val="0"/>
          <w:numId w:val="2"/>
        </w:numPr>
      </w:pPr>
      <w:r w:rsidRPr="00892788">
        <w:t xml:space="preserve">14 </w:t>
      </w:r>
      <w:r w:rsidR="0007709A" w:rsidRPr="00892788">
        <w:t>cases</w:t>
      </w:r>
      <w:r w:rsidRPr="00892788">
        <w:t xml:space="preserve"> held over from last year</w:t>
      </w:r>
    </w:p>
    <w:p w14:paraId="0385D234" w14:textId="7FEF8404" w:rsidR="00505AF9" w:rsidRPr="00892788" w:rsidRDefault="00505AF9" w:rsidP="00505AF9">
      <w:pPr>
        <w:pStyle w:val="ListParagraph"/>
        <w:numPr>
          <w:ilvl w:val="0"/>
          <w:numId w:val="2"/>
        </w:numPr>
      </w:pPr>
      <w:r w:rsidRPr="00892788">
        <w:t>44% (320) required more information</w:t>
      </w:r>
    </w:p>
    <w:p w14:paraId="22A8796D" w14:textId="75F055BD" w:rsidR="00505AF9" w:rsidRPr="00892788" w:rsidRDefault="00505AF9" w:rsidP="00DC4752"/>
    <w:p w14:paraId="20163703" w14:textId="0C7EF0E5" w:rsidR="00DC4752" w:rsidRPr="00892788" w:rsidRDefault="00DC4752" w:rsidP="00DC4752">
      <w:pPr>
        <w:rPr>
          <w:color w:val="C00000"/>
        </w:rPr>
      </w:pPr>
      <w:r w:rsidRPr="00892788">
        <w:t xml:space="preserve">On 31/3/18, 69 cases were </w:t>
      </w:r>
      <w:r w:rsidRPr="00892788">
        <w:rPr>
          <w:color w:val="FFC000"/>
        </w:rPr>
        <w:t xml:space="preserve">waiting to be </w:t>
      </w:r>
      <w:r w:rsidRPr="00892788">
        <w:rPr>
          <w:i/>
          <w:color w:val="FFC000"/>
        </w:rPr>
        <w:t>decided</w:t>
      </w:r>
      <w:r w:rsidRPr="00892788">
        <w:rPr>
          <w:i/>
          <w:color w:val="C00000"/>
        </w:rPr>
        <w:t>.</w:t>
      </w:r>
    </w:p>
    <w:p w14:paraId="7CEC284D" w14:textId="0AD30B23" w:rsidR="00DC4752" w:rsidRPr="00892788" w:rsidRDefault="00DC4752" w:rsidP="00DC4752"/>
    <w:p w14:paraId="5D5EE640" w14:textId="7ECD5DCA" w:rsidR="00DC4752" w:rsidRPr="00892788" w:rsidRDefault="00DC4752" w:rsidP="00DC4752">
      <w:pPr>
        <w:rPr>
          <w:color w:val="C00000"/>
        </w:rPr>
      </w:pPr>
      <w:r w:rsidRPr="00892788">
        <w:rPr>
          <w:color w:val="C00000"/>
        </w:rPr>
        <w:t>If you add 727 (cases decided) to 69 (cases awaiting decision) this does not equal 782 (cases examined during the period)</w:t>
      </w:r>
    </w:p>
    <w:p w14:paraId="65834683" w14:textId="7834E9E0" w:rsidR="00951238" w:rsidRPr="00892788" w:rsidRDefault="00951238" w:rsidP="00DC4752"/>
    <w:p w14:paraId="20FD31DC" w14:textId="12A79FA3" w:rsidR="00951238" w:rsidRPr="00892788" w:rsidRDefault="00951238" w:rsidP="00DC4752">
      <w:r w:rsidRPr="00892788">
        <w:t xml:space="preserve">Of </w:t>
      </w:r>
      <w:r w:rsidR="00003827" w:rsidRPr="00892788">
        <w:t xml:space="preserve">727 </w:t>
      </w:r>
      <w:r w:rsidRPr="00892788">
        <w:t>cases decided</w:t>
      </w:r>
    </w:p>
    <w:p w14:paraId="311AADCD" w14:textId="4B9E0516" w:rsidR="00951238" w:rsidRPr="00892788" w:rsidRDefault="00951238" w:rsidP="00DC4752">
      <w:r w:rsidRPr="00892788">
        <w:t xml:space="preserve">90% </w:t>
      </w:r>
      <w:r w:rsidR="008E34FB" w:rsidRPr="00892788">
        <w:t xml:space="preserve">(658 cases) </w:t>
      </w:r>
      <w:r w:rsidRPr="00892788">
        <w:rPr>
          <w:color w:val="00B050"/>
        </w:rPr>
        <w:t>complied</w:t>
      </w:r>
    </w:p>
    <w:p w14:paraId="6503075A" w14:textId="31B43D0C" w:rsidR="00951238" w:rsidRPr="00892788" w:rsidRDefault="00951238" w:rsidP="00DC4752">
      <w:r w:rsidRPr="00892788">
        <w:t>7% (50</w:t>
      </w:r>
      <w:r w:rsidR="008E34FB" w:rsidRPr="00892788">
        <w:t xml:space="preserve"> cases</w:t>
      </w:r>
      <w:r w:rsidRPr="00892788">
        <w:t xml:space="preserve">) </w:t>
      </w:r>
      <w:r w:rsidRPr="00892788">
        <w:rPr>
          <w:color w:val="FFC000"/>
        </w:rPr>
        <w:t>No determination possible</w:t>
      </w:r>
    </w:p>
    <w:p w14:paraId="4870EF80" w14:textId="1DA9E2D1" w:rsidR="00951238" w:rsidRPr="00892788" w:rsidRDefault="00951238" w:rsidP="00951238">
      <w:pPr>
        <w:pStyle w:val="ListParagraph"/>
        <w:numPr>
          <w:ilvl w:val="0"/>
          <w:numId w:val="2"/>
        </w:numPr>
      </w:pPr>
      <w:r w:rsidRPr="00892788">
        <w:t>23 cases – additional information was not provided</w:t>
      </w:r>
    </w:p>
    <w:p w14:paraId="196F2BEB" w14:textId="59A866C8" w:rsidR="00951238" w:rsidRPr="00892788" w:rsidRDefault="008E34FB" w:rsidP="00951238">
      <w:pPr>
        <w:pStyle w:val="ListParagraph"/>
        <w:numPr>
          <w:ilvl w:val="0"/>
          <w:numId w:val="2"/>
        </w:numPr>
      </w:pPr>
      <w:r w:rsidRPr="00892788">
        <w:t>27 cases – Information was still insufficient</w:t>
      </w:r>
    </w:p>
    <w:p w14:paraId="2C7BF7CD" w14:textId="3024C5D2" w:rsidR="008E34FB" w:rsidRPr="00892788" w:rsidRDefault="008E34FB" w:rsidP="008E34FB">
      <w:pPr>
        <w:pStyle w:val="ListParagraph"/>
        <w:numPr>
          <w:ilvl w:val="1"/>
          <w:numId w:val="2"/>
        </w:numPr>
      </w:pPr>
      <w:r w:rsidRPr="00892788">
        <w:t>In 13 cases, the doctor said s/he had no further information.</w:t>
      </w:r>
    </w:p>
    <w:p w14:paraId="4C978E96" w14:textId="0835FAA8" w:rsidR="00951238" w:rsidRPr="00892788" w:rsidRDefault="00951238" w:rsidP="00DC4752">
      <w:r w:rsidRPr="00892788">
        <w:t xml:space="preserve">3% </w:t>
      </w:r>
      <w:r w:rsidR="008E34FB" w:rsidRPr="00892788">
        <w:t xml:space="preserve">(19 cases) </w:t>
      </w:r>
      <w:r w:rsidRPr="00892788">
        <w:rPr>
          <w:b/>
          <w:color w:val="C00000"/>
        </w:rPr>
        <w:t>did not comply</w:t>
      </w:r>
    </w:p>
    <w:p w14:paraId="19DDB475" w14:textId="1BA292C4" w:rsidR="008E34FB" w:rsidRPr="00892788" w:rsidRDefault="008E34FB" w:rsidP="008E34FB">
      <w:pPr>
        <w:pStyle w:val="ListParagraph"/>
        <w:numPr>
          <w:ilvl w:val="0"/>
          <w:numId w:val="2"/>
        </w:numPr>
      </w:pPr>
      <w:r w:rsidRPr="00892788">
        <w:t xml:space="preserve">6 cases – Second doctor </w:t>
      </w:r>
      <w:r w:rsidR="007B226A" w:rsidRPr="00892788">
        <w:t>signed off</w:t>
      </w:r>
      <w:r w:rsidRPr="00892788">
        <w:t xml:space="preserve"> before </w:t>
      </w:r>
      <w:r w:rsidR="007B226A" w:rsidRPr="00892788">
        <w:t>euthanasia request</w:t>
      </w:r>
      <w:r w:rsidRPr="00892788">
        <w:t xml:space="preserve"> was signed</w:t>
      </w:r>
    </w:p>
    <w:p w14:paraId="3023377B" w14:textId="77777777" w:rsidR="008E34FB" w:rsidRPr="00892788" w:rsidRDefault="008E34FB" w:rsidP="008E34FB">
      <w:pPr>
        <w:pStyle w:val="ListParagraph"/>
        <w:numPr>
          <w:ilvl w:val="0"/>
          <w:numId w:val="2"/>
        </w:numPr>
      </w:pPr>
      <w:r w:rsidRPr="00892788">
        <w:t>3 cases – The person who countersigned the request was not a health care professional.</w:t>
      </w:r>
    </w:p>
    <w:p w14:paraId="39BA7447" w14:textId="148FDA87" w:rsidR="008E34FB" w:rsidRPr="00892788" w:rsidRDefault="008E34FB" w:rsidP="008E34FB">
      <w:pPr>
        <w:pStyle w:val="ListParagraph"/>
        <w:numPr>
          <w:ilvl w:val="0"/>
          <w:numId w:val="2"/>
        </w:numPr>
      </w:pPr>
      <w:r w:rsidRPr="00892788">
        <w:t xml:space="preserve">3 cases – Person did not have a “serious and incurable </w:t>
      </w:r>
      <w:r w:rsidR="00637BA2" w:rsidRPr="00892788">
        <w:t>illness</w:t>
      </w:r>
      <w:r w:rsidRPr="00892788">
        <w:t>”</w:t>
      </w:r>
      <w:r w:rsidR="00921532" w:rsidRPr="00892788">
        <w:t xml:space="preserve"> and so was </w:t>
      </w:r>
      <w:r w:rsidR="00921532" w:rsidRPr="00892788">
        <w:rPr>
          <w:color w:val="C00000"/>
        </w:rPr>
        <w:t>not eligible</w:t>
      </w:r>
      <w:r w:rsidR="00921532" w:rsidRPr="00892788">
        <w:t xml:space="preserve"> (p. 16).</w:t>
      </w:r>
    </w:p>
    <w:p w14:paraId="4E38F9A0" w14:textId="3F1CC9EA" w:rsidR="008E34FB" w:rsidRPr="00892788" w:rsidRDefault="008E34FB" w:rsidP="008E34FB">
      <w:pPr>
        <w:pStyle w:val="ListParagraph"/>
        <w:numPr>
          <w:ilvl w:val="0"/>
          <w:numId w:val="2"/>
        </w:numPr>
      </w:pPr>
      <w:r w:rsidRPr="00892788">
        <w:t>3 cases – The person did not have health insurance</w:t>
      </w:r>
    </w:p>
    <w:p w14:paraId="4E7AE236" w14:textId="7ED56079" w:rsidR="008E34FB" w:rsidRPr="00892788" w:rsidRDefault="008E34FB" w:rsidP="008E34FB">
      <w:pPr>
        <w:pStyle w:val="ListParagraph"/>
        <w:numPr>
          <w:ilvl w:val="0"/>
          <w:numId w:val="2"/>
        </w:numPr>
      </w:pPr>
      <w:r w:rsidRPr="00892788">
        <w:t xml:space="preserve">2 cases – Doctor </w:t>
      </w:r>
      <w:r w:rsidR="00921532" w:rsidRPr="00892788">
        <w:rPr>
          <w:color w:val="C00000"/>
        </w:rPr>
        <w:t xml:space="preserve">only met with person the day </w:t>
      </w:r>
      <w:r w:rsidR="0089082E" w:rsidRPr="00892788">
        <w:rPr>
          <w:color w:val="C00000"/>
        </w:rPr>
        <w:t xml:space="preserve">euthanasia </w:t>
      </w:r>
      <w:r w:rsidR="00921532" w:rsidRPr="00892788">
        <w:rPr>
          <w:color w:val="C00000"/>
        </w:rPr>
        <w:t>was administered</w:t>
      </w:r>
      <w:r w:rsidR="00921532" w:rsidRPr="00892788">
        <w:t>. (</w:t>
      </w:r>
      <w:r w:rsidRPr="00892788">
        <w:t>didn’t speak to the person on different occasions to ensure persistence of suffering and wish to die</w:t>
      </w:r>
      <w:r w:rsidR="00921532" w:rsidRPr="00892788">
        <w:t xml:space="preserve">, </w:t>
      </w:r>
      <w:r w:rsidRPr="00892788">
        <w:t>and capacity</w:t>
      </w:r>
      <w:r w:rsidR="00921532" w:rsidRPr="00892788">
        <w:t>)</w:t>
      </w:r>
      <w:r w:rsidRPr="00892788">
        <w:t>.</w:t>
      </w:r>
      <w:r w:rsidR="00FB05A7" w:rsidRPr="00892788">
        <w:t xml:space="preserve"> (see p. 16)</w:t>
      </w:r>
    </w:p>
    <w:p w14:paraId="5D71E907" w14:textId="42F92DC3" w:rsidR="008E34FB" w:rsidRPr="00892788" w:rsidRDefault="008E34FB" w:rsidP="008E34FB">
      <w:pPr>
        <w:pStyle w:val="ListParagraph"/>
        <w:numPr>
          <w:ilvl w:val="0"/>
          <w:numId w:val="2"/>
        </w:numPr>
      </w:pPr>
      <w:r w:rsidRPr="00892788">
        <w:t>2 cases – Doctor did not ensure compliance with safeguards.</w:t>
      </w:r>
    </w:p>
    <w:p w14:paraId="6C5D5F77" w14:textId="6A406A6E" w:rsidR="00921532" w:rsidRPr="00892788" w:rsidRDefault="00921532" w:rsidP="00921532"/>
    <w:p w14:paraId="443FE89F" w14:textId="05B78A88" w:rsidR="00921532" w:rsidRPr="00892788" w:rsidRDefault="001C2D01" w:rsidP="00921532">
      <w:r w:rsidRPr="00892788">
        <w:t>INFORMATION SUBMITTED BY THE CMQ AND INSTITUTIONS</w:t>
      </w:r>
    </w:p>
    <w:p w14:paraId="6D4A2905" w14:textId="511485B3" w:rsidR="001C2D01" w:rsidRPr="00892788" w:rsidRDefault="001C2D01" w:rsidP="00921532"/>
    <w:p w14:paraId="3DA14E08" w14:textId="4A80667C" w:rsidR="003354BA" w:rsidRPr="00892788" w:rsidRDefault="003354BA" w:rsidP="003354BA">
      <w:r w:rsidRPr="00892788">
        <w:rPr>
          <w:color w:val="auto"/>
        </w:rPr>
        <w:lastRenderedPageBreak/>
        <w:t xml:space="preserve">745 </w:t>
      </w:r>
      <w:r w:rsidR="00E354E3" w:rsidRPr="00892788">
        <w:rPr>
          <w:color w:val="ED7D31" w:themeColor="accent2"/>
        </w:rPr>
        <w:t>Continuous Palliative Sedations</w:t>
      </w:r>
      <w:r w:rsidRPr="00892788">
        <w:rPr>
          <w:color w:val="auto"/>
        </w:rPr>
        <w:t xml:space="preserve"> were reported during the period </w:t>
      </w:r>
      <w:r w:rsidRPr="00892788">
        <w:t>10/6/17 to 31/3/18</w:t>
      </w:r>
    </w:p>
    <w:p w14:paraId="703B642B" w14:textId="77777777" w:rsidR="003354BA" w:rsidRPr="00892788" w:rsidRDefault="003354BA" w:rsidP="003354BA">
      <w:pPr>
        <w:pStyle w:val="ListParagraph"/>
        <w:numPr>
          <w:ilvl w:val="0"/>
          <w:numId w:val="2"/>
        </w:numPr>
        <w:rPr>
          <w:color w:val="auto"/>
        </w:rPr>
      </w:pPr>
      <w:r w:rsidRPr="00892788">
        <w:rPr>
          <w:color w:val="auto"/>
        </w:rPr>
        <w:t xml:space="preserve">This is </w:t>
      </w:r>
      <w:r w:rsidRPr="00892788">
        <w:rPr>
          <w:color w:val="FFC000"/>
        </w:rPr>
        <w:t>in addition to</w:t>
      </w:r>
      <w:r w:rsidRPr="00892788">
        <w:rPr>
          <w:color w:val="auto"/>
        </w:rPr>
        <w:t xml:space="preserve"> euthanasia requests.</w:t>
      </w:r>
    </w:p>
    <w:p w14:paraId="6316F3D6" w14:textId="77777777" w:rsidR="003354BA" w:rsidRPr="00892788" w:rsidRDefault="003354BA" w:rsidP="00921532"/>
    <w:p w14:paraId="1B59F8A0" w14:textId="4A8CB4F3" w:rsidR="001C2D01" w:rsidRPr="00892788" w:rsidRDefault="001C2D01" w:rsidP="00921532">
      <w:r w:rsidRPr="00892788">
        <w:t xml:space="preserve">1,225* requests for </w:t>
      </w:r>
      <w:r w:rsidR="0089082E" w:rsidRPr="00892788">
        <w:t xml:space="preserve">euthanasia </w:t>
      </w:r>
      <w:r w:rsidRPr="00892788">
        <w:t xml:space="preserve">received </w:t>
      </w:r>
      <w:r w:rsidR="00F10113" w:rsidRPr="00892788">
        <w:t>from</w:t>
      </w:r>
      <w:r w:rsidRPr="00892788">
        <w:t xml:space="preserve"> </w:t>
      </w:r>
      <w:r w:rsidR="003354BA" w:rsidRPr="00892788">
        <w:rPr>
          <w:color w:val="FFC000"/>
        </w:rPr>
        <w:t>10/6</w:t>
      </w:r>
      <w:r w:rsidRPr="00892788">
        <w:rPr>
          <w:color w:val="FFC000"/>
        </w:rPr>
        <w:t xml:space="preserve">/17 </w:t>
      </w:r>
      <w:r w:rsidR="00F10113" w:rsidRPr="00892788">
        <w:t xml:space="preserve">to </w:t>
      </w:r>
      <w:r w:rsidRPr="00892788">
        <w:t>31/3/18</w:t>
      </w:r>
    </w:p>
    <w:p w14:paraId="54F60924" w14:textId="53CAC024" w:rsidR="001C2D01" w:rsidRPr="00892788" w:rsidRDefault="003354BA" w:rsidP="00921532">
      <w:r w:rsidRPr="00892788">
        <w:t>35% (</w:t>
      </w:r>
      <w:r w:rsidR="001C2D01" w:rsidRPr="00892788">
        <w:t>431</w:t>
      </w:r>
      <w:r w:rsidRPr="00892788">
        <w:t>)</w:t>
      </w:r>
      <w:r w:rsidR="001C2D01" w:rsidRPr="00892788">
        <w:t xml:space="preserve"> </w:t>
      </w:r>
      <w:r w:rsidR="00126305" w:rsidRPr="00892788">
        <w:t>euthanasia</w:t>
      </w:r>
      <w:r w:rsidR="002948B6" w:rsidRPr="00892788">
        <w:t xml:space="preserve"> not administered</w:t>
      </w:r>
    </w:p>
    <w:p w14:paraId="3A2DB1C1" w14:textId="41ED169E" w:rsidR="001C2D01" w:rsidRPr="00892788" w:rsidRDefault="003354BA" w:rsidP="00921532">
      <w:r w:rsidRPr="00892788">
        <w:rPr>
          <w:color w:val="auto"/>
        </w:rPr>
        <w:t>65%</w:t>
      </w:r>
      <w:r w:rsidRPr="00892788">
        <w:rPr>
          <w:color w:val="C00000"/>
        </w:rPr>
        <w:t xml:space="preserve"> </w:t>
      </w:r>
      <w:r w:rsidRPr="00892788">
        <w:rPr>
          <w:color w:val="FF0000"/>
        </w:rPr>
        <w:t>(</w:t>
      </w:r>
      <w:r w:rsidR="001C2D01" w:rsidRPr="00892788">
        <w:rPr>
          <w:color w:val="FF0000"/>
        </w:rPr>
        <w:t>845</w:t>
      </w:r>
      <w:r w:rsidRPr="00892788">
        <w:rPr>
          <w:color w:val="FF0000"/>
        </w:rPr>
        <w:t>)</w:t>
      </w:r>
      <w:r w:rsidR="001C2D01" w:rsidRPr="00892788">
        <w:rPr>
          <w:color w:val="FF0000"/>
        </w:rPr>
        <w:t xml:space="preserve"> euthanasia</w:t>
      </w:r>
      <w:r w:rsidR="001C2D01" w:rsidRPr="00892788">
        <w:t xml:space="preserve"> administered </w:t>
      </w:r>
    </w:p>
    <w:p w14:paraId="56C862C2" w14:textId="77777777" w:rsidR="001C2D01" w:rsidRPr="00892788" w:rsidRDefault="001C2D01" w:rsidP="001C2D01">
      <w:pPr>
        <w:pStyle w:val="ListParagraph"/>
        <w:numPr>
          <w:ilvl w:val="0"/>
          <w:numId w:val="2"/>
        </w:numPr>
      </w:pPr>
      <w:r w:rsidRPr="00892788">
        <w:t>805 reported by institutions</w:t>
      </w:r>
    </w:p>
    <w:p w14:paraId="37E4D3E3" w14:textId="21170999" w:rsidR="001C2D01" w:rsidRPr="00892788" w:rsidRDefault="001C2D01" w:rsidP="001C2D01">
      <w:pPr>
        <w:pStyle w:val="ListParagraph"/>
        <w:numPr>
          <w:ilvl w:val="0"/>
          <w:numId w:val="2"/>
        </w:numPr>
      </w:pPr>
      <w:r w:rsidRPr="00892788">
        <w:t xml:space="preserve">40 reported by CMQ </w:t>
      </w:r>
    </w:p>
    <w:p w14:paraId="6576FF52" w14:textId="56849E09" w:rsidR="001C2D01" w:rsidRPr="00892788" w:rsidRDefault="001C2D01" w:rsidP="001C2D01"/>
    <w:p w14:paraId="36B72955" w14:textId="6237FC72" w:rsidR="004A4270" w:rsidRPr="00892788" w:rsidRDefault="004A4270" w:rsidP="001C2D01">
      <w:pPr>
        <w:rPr>
          <w:color w:val="auto"/>
        </w:rPr>
      </w:pPr>
      <w:r w:rsidRPr="00892788">
        <w:rPr>
          <w:color w:val="auto"/>
        </w:rPr>
        <w:t xml:space="preserve">*431 + 845 = 1,276.  </w:t>
      </w:r>
      <w:r w:rsidR="002948B6" w:rsidRPr="00892788">
        <w:rPr>
          <w:color w:val="auto"/>
        </w:rPr>
        <w:t xml:space="preserve">The report does not account for the discrepancy of </w:t>
      </w:r>
      <w:r w:rsidR="00126305" w:rsidRPr="00892788">
        <w:rPr>
          <w:color w:val="auto"/>
        </w:rPr>
        <w:t xml:space="preserve">51 </w:t>
      </w:r>
      <w:r w:rsidR="002948B6" w:rsidRPr="00892788">
        <w:rPr>
          <w:color w:val="auto"/>
        </w:rPr>
        <w:t xml:space="preserve">cases.  Since the table of reasons euthanasia was not administered adds up to 431, we can only presume that the </w:t>
      </w:r>
      <w:r w:rsidR="001435E5" w:rsidRPr="00892788">
        <w:rPr>
          <w:color w:val="auto"/>
        </w:rPr>
        <w:t>1,225 or the 845 figure is wrong.</w:t>
      </w:r>
    </w:p>
    <w:p w14:paraId="699916F9" w14:textId="77777777" w:rsidR="004A4270" w:rsidRPr="00892788" w:rsidRDefault="004A4270" w:rsidP="001C2D01">
      <w:pPr>
        <w:rPr>
          <w:color w:val="auto"/>
        </w:rPr>
      </w:pPr>
    </w:p>
    <w:p w14:paraId="38AFA04D" w14:textId="6B8B96B8" w:rsidR="001C2D01" w:rsidRPr="00892788" w:rsidRDefault="001435E5" w:rsidP="001C2D01">
      <w:pPr>
        <w:rPr>
          <w:b/>
          <w:color w:val="C00000"/>
        </w:rPr>
      </w:pPr>
      <w:r w:rsidRPr="00892788">
        <w:rPr>
          <w:color w:val="auto"/>
        </w:rPr>
        <w:t xml:space="preserve">More, worrisome, however is that </w:t>
      </w:r>
      <w:r w:rsidRPr="00892788">
        <w:rPr>
          <w:color w:val="C00000"/>
        </w:rPr>
        <w:t>the report address the</w:t>
      </w:r>
      <w:r w:rsidRPr="00892788">
        <w:rPr>
          <w:b/>
          <w:color w:val="C00000"/>
        </w:rPr>
        <w:t xml:space="preserve"> </w:t>
      </w:r>
      <w:r w:rsidRPr="00892788">
        <w:rPr>
          <w:color w:val="C00000"/>
        </w:rPr>
        <w:t>difference between</w:t>
      </w:r>
      <w:r w:rsidRPr="00892788">
        <w:rPr>
          <w:b/>
          <w:color w:val="C00000"/>
        </w:rPr>
        <w:t xml:space="preserve"> </w:t>
      </w:r>
      <w:r w:rsidR="001C2D01" w:rsidRPr="00892788">
        <w:rPr>
          <w:b/>
          <w:color w:val="C00000"/>
        </w:rPr>
        <w:t xml:space="preserve">708 </w:t>
      </w:r>
      <w:r w:rsidR="0089082E" w:rsidRPr="00892788">
        <w:rPr>
          <w:b/>
          <w:color w:val="C00000"/>
        </w:rPr>
        <w:t>Euthanasia</w:t>
      </w:r>
      <w:r w:rsidR="004A4270" w:rsidRPr="00892788">
        <w:rPr>
          <w:b/>
          <w:color w:val="C00000"/>
        </w:rPr>
        <w:t xml:space="preserve"> report </w:t>
      </w:r>
      <w:r w:rsidR="001C2D01" w:rsidRPr="00892788">
        <w:rPr>
          <w:b/>
          <w:color w:val="C00000"/>
        </w:rPr>
        <w:t xml:space="preserve">forms </w:t>
      </w:r>
      <w:r w:rsidR="001C2D01" w:rsidRPr="00892788">
        <w:rPr>
          <w:color w:val="C00000"/>
        </w:rPr>
        <w:t>received from doctors</w:t>
      </w:r>
      <w:r w:rsidR="001C2D01" w:rsidRPr="00892788">
        <w:rPr>
          <w:b/>
          <w:color w:val="C00000"/>
        </w:rPr>
        <w:t xml:space="preserve"> </w:t>
      </w:r>
      <w:r w:rsidR="001C2D01" w:rsidRPr="00892788">
        <w:rPr>
          <w:color w:val="C00000"/>
        </w:rPr>
        <w:t>(including five from previous years), and</w:t>
      </w:r>
      <w:r w:rsidR="001C2D01" w:rsidRPr="00892788">
        <w:rPr>
          <w:b/>
          <w:color w:val="C00000"/>
        </w:rPr>
        <w:t xml:space="preserve"> 845 euthanasia </w:t>
      </w:r>
      <w:r w:rsidR="001C2D01" w:rsidRPr="00892788">
        <w:rPr>
          <w:color w:val="C00000"/>
        </w:rPr>
        <w:t>reported</w:t>
      </w:r>
      <w:r w:rsidR="004A4270" w:rsidRPr="00892788">
        <w:rPr>
          <w:color w:val="C00000"/>
        </w:rPr>
        <w:t xml:space="preserve"> by the CMQ and institutions</w:t>
      </w:r>
      <w:r w:rsidR="00810287" w:rsidRPr="00892788">
        <w:rPr>
          <w:b/>
          <w:color w:val="C00000"/>
        </w:rPr>
        <w:t xml:space="preserve"> </w:t>
      </w:r>
      <w:r w:rsidR="00810287" w:rsidRPr="00892788">
        <w:rPr>
          <w:b/>
          <w:color w:val="FF0000"/>
        </w:rPr>
        <w:t>(</w:t>
      </w:r>
      <w:r w:rsidRPr="00892788">
        <w:rPr>
          <w:b/>
          <w:color w:val="FF0000"/>
        </w:rPr>
        <w:t xml:space="preserve">a total of </w:t>
      </w:r>
      <w:r w:rsidR="00810287" w:rsidRPr="00892788">
        <w:rPr>
          <w:b/>
          <w:color w:val="FF0000"/>
        </w:rPr>
        <w:t>137 deaths)</w:t>
      </w:r>
      <w:r w:rsidR="004A4270" w:rsidRPr="00892788">
        <w:rPr>
          <w:b/>
          <w:color w:val="C00000"/>
        </w:rPr>
        <w:t>.</w:t>
      </w:r>
    </w:p>
    <w:p w14:paraId="31212B89" w14:textId="36CAC8D1" w:rsidR="003354BA" w:rsidRPr="00892788" w:rsidRDefault="003354BA" w:rsidP="001C2D01">
      <w:pPr>
        <w:rPr>
          <w:color w:val="auto"/>
        </w:rPr>
      </w:pPr>
    </w:p>
    <w:p w14:paraId="1C86D14B" w14:textId="6BCBA61A" w:rsidR="003354BA" w:rsidRPr="00892788" w:rsidRDefault="003354BA" w:rsidP="001C2D01">
      <w:pPr>
        <w:rPr>
          <w:color w:val="auto"/>
        </w:rPr>
      </w:pPr>
      <w:r w:rsidRPr="00892788">
        <w:rPr>
          <w:color w:val="auto"/>
        </w:rPr>
        <w:t xml:space="preserve">Reasons </w:t>
      </w:r>
      <w:r w:rsidR="0089082E" w:rsidRPr="00892788">
        <w:rPr>
          <w:color w:val="auto"/>
        </w:rPr>
        <w:t xml:space="preserve">euthanasia </w:t>
      </w:r>
      <w:r w:rsidRPr="00892788">
        <w:rPr>
          <w:color w:val="auto"/>
        </w:rPr>
        <w:t>was not administered:</w:t>
      </w:r>
    </w:p>
    <w:p w14:paraId="626BC119" w14:textId="5F687470" w:rsidR="003354BA" w:rsidRPr="00892788" w:rsidRDefault="003354BA" w:rsidP="003354BA">
      <w:pPr>
        <w:pStyle w:val="ListParagraph"/>
        <w:numPr>
          <w:ilvl w:val="0"/>
          <w:numId w:val="2"/>
        </w:numPr>
        <w:rPr>
          <w:color w:val="auto"/>
        </w:rPr>
      </w:pPr>
      <w:r w:rsidRPr="00892788">
        <w:rPr>
          <w:color w:val="auto"/>
        </w:rPr>
        <w:t xml:space="preserve">37.6% (162) died before evaluation was completed or </w:t>
      </w:r>
      <w:r w:rsidR="0089082E" w:rsidRPr="00892788">
        <w:rPr>
          <w:color w:val="auto"/>
        </w:rPr>
        <w:t xml:space="preserve">euthanasia </w:t>
      </w:r>
      <w:r w:rsidRPr="00892788">
        <w:rPr>
          <w:color w:val="auto"/>
        </w:rPr>
        <w:t>was given.</w:t>
      </w:r>
    </w:p>
    <w:p w14:paraId="0D5B67D1" w14:textId="32FF78B6" w:rsidR="003354BA" w:rsidRPr="00892788" w:rsidRDefault="003354BA" w:rsidP="003354BA">
      <w:pPr>
        <w:pStyle w:val="ListParagraph"/>
        <w:numPr>
          <w:ilvl w:val="0"/>
          <w:numId w:val="2"/>
        </w:numPr>
        <w:rPr>
          <w:color w:val="auto"/>
        </w:rPr>
      </w:pPr>
      <w:r w:rsidRPr="00892788">
        <w:rPr>
          <w:color w:val="auto"/>
        </w:rPr>
        <w:t>36% (155) were not eligible, or became ineligible</w:t>
      </w:r>
    </w:p>
    <w:p w14:paraId="09E98FBB" w14:textId="0990989F" w:rsidR="003354BA" w:rsidRPr="00892788" w:rsidRDefault="003354BA" w:rsidP="003354BA">
      <w:pPr>
        <w:pStyle w:val="ListParagraph"/>
        <w:numPr>
          <w:ilvl w:val="0"/>
          <w:numId w:val="2"/>
        </w:numPr>
        <w:rPr>
          <w:color w:val="auto"/>
        </w:rPr>
      </w:pPr>
      <w:r w:rsidRPr="00892788">
        <w:rPr>
          <w:color w:val="auto"/>
        </w:rPr>
        <w:t>14% (61) withdrew the request</w:t>
      </w:r>
    </w:p>
    <w:p w14:paraId="06F0E1A2" w14:textId="0D581366" w:rsidR="003354BA" w:rsidRPr="00892788" w:rsidRDefault="00CC3AC7" w:rsidP="003354BA">
      <w:pPr>
        <w:pStyle w:val="ListParagraph"/>
        <w:numPr>
          <w:ilvl w:val="0"/>
          <w:numId w:val="2"/>
        </w:numPr>
        <w:rPr>
          <w:color w:val="auto"/>
        </w:rPr>
      </w:pPr>
      <w:r w:rsidRPr="00892788">
        <w:rPr>
          <w:color w:val="auto"/>
        </w:rPr>
        <w:t>6.3</w:t>
      </w:r>
      <w:r w:rsidR="00C47C9A" w:rsidRPr="00892788">
        <w:rPr>
          <w:color w:val="auto"/>
        </w:rPr>
        <w:t>%</w:t>
      </w:r>
      <w:r w:rsidRPr="00892788">
        <w:rPr>
          <w:color w:val="auto"/>
        </w:rPr>
        <w:t xml:space="preserve"> (</w:t>
      </w:r>
      <w:r w:rsidR="003354BA" w:rsidRPr="00892788">
        <w:rPr>
          <w:color w:val="auto"/>
        </w:rPr>
        <w:t>27</w:t>
      </w:r>
      <w:r w:rsidRPr="00892788">
        <w:rPr>
          <w:color w:val="auto"/>
        </w:rPr>
        <w:t>)</w:t>
      </w:r>
      <w:r w:rsidR="003354BA" w:rsidRPr="00892788">
        <w:rPr>
          <w:color w:val="auto"/>
        </w:rPr>
        <w:t xml:space="preserve"> opted for another treatment option</w:t>
      </w:r>
    </w:p>
    <w:p w14:paraId="2291DA82" w14:textId="06ECE243" w:rsidR="003354BA" w:rsidRPr="00892788" w:rsidRDefault="00CC3AC7" w:rsidP="003354BA">
      <w:pPr>
        <w:pStyle w:val="ListParagraph"/>
        <w:numPr>
          <w:ilvl w:val="0"/>
          <w:numId w:val="2"/>
        </w:numPr>
        <w:rPr>
          <w:color w:val="auto"/>
        </w:rPr>
      </w:pPr>
      <w:r w:rsidRPr="00892788">
        <w:rPr>
          <w:color w:val="auto"/>
        </w:rPr>
        <w:t>3.3</w:t>
      </w:r>
      <w:r w:rsidR="00C47C9A" w:rsidRPr="00892788">
        <w:rPr>
          <w:color w:val="auto"/>
        </w:rPr>
        <w:t>%</w:t>
      </w:r>
      <w:r w:rsidRPr="00892788">
        <w:rPr>
          <w:color w:val="auto"/>
        </w:rPr>
        <w:t xml:space="preserve"> (</w:t>
      </w:r>
      <w:r w:rsidR="003354BA" w:rsidRPr="00892788">
        <w:rPr>
          <w:color w:val="auto"/>
        </w:rPr>
        <w:t>14</w:t>
      </w:r>
      <w:r w:rsidRPr="00892788">
        <w:rPr>
          <w:color w:val="auto"/>
        </w:rPr>
        <w:t>)</w:t>
      </w:r>
      <w:r w:rsidR="003354BA" w:rsidRPr="00892788">
        <w:rPr>
          <w:color w:val="auto"/>
        </w:rPr>
        <w:t xml:space="preserve"> requests were in process of evaluation</w:t>
      </w:r>
    </w:p>
    <w:p w14:paraId="055CFA03" w14:textId="48B0CC47" w:rsidR="003354BA" w:rsidRPr="00892788" w:rsidRDefault="00CC3AC7" w:rsidP="003354BA">
      <w:pPr>
        <w:pStyle w:val="ListParagraph"/>
        <w:numPr>
          <w:ilvl w:val="0"/>
          <w:numId w:val="2"/>
        </w:numPr>
        <w:rPr>
          <w:color w:val="auto"/>
        </w:rPr>
      </w:pPr>
      <w:r w:rsidRPr="00892788">
        <w:rPr>
          <w:color w:val="auto"/>
        </w:rPr>
        <w:t>2.8</w:t>
      </w:r>
      <w:r w:rsidR="00C47C9A" w:rsidRPr="00892788">
        <w:rPr>
          <w:color w:val="auto"/>
        </w:rPr>
        <w:t>%</w:t>
      </w:r>
      <w:r w:rsidRPr="00892788">
        <w:rPr>
          <w:color w:val="auto"/>
        </w:rPr>
        <w:t xml:space="preserve"> (</w:t>
      </w:r>
      <w:r w:rsidR="003354BA" w:rsidRPr="00892788">
        <w:rPr>
          <w:color w:val="auto"/>
        </w:rPr>
        <w:t>12</w:t>
      </w:r>
      <w:r w:rsidRPr="00892788">
        <w:rPr>
          <w:color w:val="auto"/>
        </w:rPr>
        <w:t>)</w:t>
      </w:r>
      <w:r w:rsidR="003354BA" w:rsidRPr="00892788">
        <w:rPr>
          <w:color w:val="auto"/>
        </w:rPr>
        <w:t xml:space="preserve"> went home or were transferred to palliative care or another facility.</w:t>
      </w:r>
    </w:p>
    <w:p w14:paraId="4A8ED630" w14:textId="07609226" w:rsidR="00593724" w:rsidRPr="00892788" w:rsidRDefault="00593724" w:rsidP="00593724">
      <w:pPr>
        <w:rPr>
          <w:color w:val="auto"/>
        </w:rPr>
      </w:pPr>
    </w:p>
    <w:p w14:paraId="21920455" w14:textId="77777777" w:rsidR="00E354E3" w:rsidRPr="00892788" w:rsidRDefault="00593724" w:rsidP="00593724">
      <w:pPr>
        <w:rPr>
          <w:color w:val="auto"/>
          <w:lang w:val="en-CA"/>
        </w:rPr>
      </w:pPr>
      <w:r w:rsidRPr="00892788">
        <w:rPr>
          <w:color w:val="auto"/>
          <w:lang w:val="en-CA"/>
        </w:rPr>
        <w:t xml:space="preserve">The report admits that it is not possible to say how many people are receiving palliative care services. </w:t>
      </w:r>
    </w:p>
    <w:p w14:paraId="4585DF84" w14:textId="11DEAE93" w:rsidR="00593724" w:rsidRPr="00892788" w:rsidRDefault="00E354E3" w:rsidP="00593724">
      <w:pPr>
        <w:rPr>
          <w:color w:val="auto"/>
          <w:lang w:val="fr-CA"/>
        </w:rPr>
      </w:pPr>
      <w:r w:rsidRPr="00892788">
        <w:rPr>
          <w:color w:val="auto"/>
          <w:lang w:val="fr-CA"/>
        </w:rPr>
        <w:t>« Considérant</w:t>
      </w:r>
      <w:r w:rsidR="00593724" w:rsidRPr="00892788">
        <w:rPr>
          <w:color w:val="auto"/>
          <w:lang w:val="fr-CA"/>
        </w:rPr>
        <w:t xml:space="preserve"> qu’il n’est pas possible actuellement d’identifier les personnes en fin de vie ayant </w:t>
      </w:r>
      <w:r w:rsidRPr="00892788">
        <w:rPr>
          <w:color w:val="auto"/>
          <w:lang w:val="fr-CA"/>
        </w:rPr>
        <w:t>reçu</w:t>
      </w:r>
      <w:r w:rsidR="00593724" w:rsidRPr="00892788">
        <w:rPr>
          <w:color w:val="auto"/>
          <w:lang w:val="fr-CA"/>
        </w:rPr>
        <w:t xml:space="preserve"> des soins palliatifs, le MSSS a </w:t>
      </w:r>
      <w:r w:rsidRPr="00892788">
        <w:rPr>
          <w:color w:val="auto"/>
          <w:lang w:val="fr-CA"/>
        </w:rPr>
        <w:lastRenderedPageBreak/>
        <w:t>précisé</w:t>
      </w:r>
      <w:r w:rsidR="00593724" w:rsidRPr="00892788">
        <w:rPr>
          <w:color w:val="auto"/>
          <w:lang w:val="fr-CA"/>
        </w:rPr>
        <w:t xml:space="preserve"> au </w:t>
      </w:r>
      <w:r w:rsidRPr="00892788">
        <w:rPr>
          <w:color w:val="auto"/>
          <w:lang w:val="fr-CA"/>
        </w:rPr>
        <w:t>réseau</w:t>
      </w:r>
      <w:r w:rsidR="00593724" w:rsidRPr="00892788">
        <w:rPr>
          <w:color w:val="auto"/>
          <w:lang w:val="fr-CA"/>
        </w:rPr>
        <w:t xml:space="preserve"> que l’information </w:t>
      </w:r>
      <w:r w:rsidRPr="00892788">
        <w:rPr>
          <w:color w:val="auto"/>
          <w:lang w:val="fr-CA"/>
        </w:rPr>
        <w:t>demandée</w:t>
      </w:r>
      <w:r w:rsidR="00593724" w:rsidRPr="00892788">
        <w:rPr>
          <w:color w:val="auto"/>
          <w:lang w:val="fr-CA"/>
        </w:rPr>
        <w:t xml:space="preserve">, obtenue à partir des banques de </w:t>
      </w:r>
      <w:r w:rsidRPr="00892788">
        <w:rPr>
          <w:color w:val="auto"/>
          <w:lang w:val="fr-CA"/>
        </w:rPr>
        <w:t>données</w:t>
      </w:r>
      <w:r w:rsidR="00593724" w:rsidRPr="00892788">
        <w:rPr>
          <w:color w:val="auto"/>
          <w:lang w:val="fr-CA"/>
        </w:rPr>
        <w:t xml:space="preserve"> nationales, est le nombre de personnes en soins palliatifs et de fin de vie par milieu de soin.</w:t>
      </w:r>
      <w:r w:rsidRPr="00892788">
        <w:rPr>
          <w:color w:val="auto"/>
          <w:lang w:val="fr-CA"/>
        </w:rPr>
        <w:t> »</w:t>
      </w:r>
    </w:p>
    <w:p w14:paraId="0424FA56" w14:textId="5D38D273" w:rsidR="00CC3AC7" w:rsidRPr="00892788" w:rsidRDefault="00CC3AC7" w:rsidP="00CC3AC7">
      <w:pPr>
        <w:rPr>
          <w:color w:val="auto"/>
          <w:lang w:val="fr-CA"/>
        </w:rPr>
      </w:pPr>
    </w:p>
    <w:p w14:paraId="3F1BFEF8" w14:textId="5F73225B" w:rsidR="00CC3AC7" w:rsidRPr="00892788" w:rsidRDefault="00CC3AC7" w:rsidP="00CC3AC7">
      <w:pPr>
        <w:rPr>
          <w:b/>
          <w:color w:val="7030A0"/>
        </w:rPr>
      </w:pPr>
      <w:r w:rsidRPr="00892788">
        <w:rPr>
          <w:b/>
          <w:color w:val="7030A0"/>
        </w:rPr>
        <w:t>Cumulative statistics</w:t>
      </w:r>
    </w:p>
    <w:p w14:paraId="3011334E" w14:textId="6B607498" w:rsidR="00CC3AC7" w:rsidRPr="00892788" w:rsidRDefault="00CC3AC7" w:rsidP="00CC3AC7">
      <w:pPr>
        <w:rPr>
          <w:color w:val="7030A0"/>
        </w:rPr>
      </w:pPr>
      <w:r w:rsidRPr="00892788">
        <w:rPr>
          <w:color w:val="7030A0"/>
        </w:rPr>
        <w:t>December 10, 2015-March 31, 2018</w:t>
      </w:r>
    </w:p>
    <w:p w14:paraId="67EE616A" w14:textId="54D7B912" w:rsidR="00CC3AC7" w:rsidRPr="00892788" w:rsidRDefault="00CC3AC7" w:rsidP="00CC3AC7">
      <w:pPr>
        <w:rPr>
          <w:color w:val="auto"/>
        </w:rPr>
      </w:pPr>
    </w:p>
    <w:p w14:paraId="268FB723" w14:textId="73994BF3" w:rsidR="00CC3AC7" w:rsidRPr="00892788" w:rsidRDefault="00CC3AC7" w:rsidP="00CC3AC7">
      <w:r w:rsidRPr="00892788">
        <w:t>FORMS DOCUMENTING EUTHANASIA SUBMITTED BY DOCTORS</w:t>
      </w:r>
    </w:p>
    <w:p w14:paraId="5B03A9B4" w14:textId="3692451E" w:rsidR="00CC3AC7" w:rsidRPr="00892788" w:rsidRDefault="00CC3AC7" w:rsidP="00CC3AC7"/>
    <w:p w14:paraId="24726ADD" w14:textId="07EF6E81" w:rsidR="00CC3AC7" w:rsidRPr="00892788" w:rsidRDefault="00CC3AC7" w:rsidP="00CC3AC7">
      <w:r w:rsidRPr="00892788">
        <w:rPr>
          <w:color w:val="FF0000"/>
        </w:rPr>
        <w:t xml:space="preserve">1,493 forms </w:t>
      </w:r>
      <w:r w:rsidRPr="00892788">
        <w:rPr>
          <w:i/>
          <w:color w:val="0070C0"/>
        </w:rPr>
        <w:t>received</w:t>
      </w:r>
      <w:r w:rsidRPr="00892788">
        <w:rPr>
          <w:color w:val="0070C0"/>
        </w:rPr>
        <w:t xml:space="preserve"> </w:t>
      </w:r>
      <w:r w:rsidR="007B373F" w:rsidRPr="00892788">
        <w:t>10/12</w:t>
      </w:r>
      <w:r w:rsidRPr="00892788">
        <w:t>/1</w:t>
      </w:r>
      <w:r w:rsidR="007B373F" w:rsidRPr="00892788">
        <w:t>5</w:t>
      </w:r>
      <w:r w:rsidRPr="00892788">
        <w:t xml:space="preserve"> to 31/3/18</w:t>
      </w:r>
    </w:p>
    <w:p w14:paraId="2ABC4318" w14:textId="092984AA" w:rsidR="00CC3AC7" w:rsidRPr="00892788" w:rsidRDefault="00CC3AC7" w:rsidP="00CC3AC7">
      <w:pPr>
        <w:pStyle w:val="ListParagraph"/>
        <w:numPr>
          <w:ilvl w:val="0"/>
          <w:numId w:val="2"/>
        </w:numPr>
      </w:pPr>
      <w:r w:rsidRPr="00892788">
        <w:t>161 – 1</w:t>
      </w:r>
      <w:r w:rsidRPr="00892788">
        <w:rPr>
          <w:vertAlign w:val="superscript"/>
        </w:rPr>
        <w:t>st</w:t>
      </w:r>
      <w:r w:rsidRPr="00892788">
        <w:t xml:space="preserve"> </w:t>
      </w:r>
      <w:r w:rsidR="007B373F" w:rsidRPr="00892788">
        <w:t>period (12/15-6/16)</w:t>
      </w:r>
    </w:p>
    <w:p w14:paraId="24085480" w14:textId="383E1B43" w:rsidR="00CC3AC7" w:rsidRPr="00892788" w:rsidRDefault="00CC3AC7" w:rsidP="00CC3AC7">
      <w:pPr>
        <w:pStyle w:val="ListParagraph"/>
        <w:numPr>
          <w:ilvl w:val="0"/>
          <w:numId w:val="2"/>
        </w:numPr>
      </w:pPr>
      <w:r w:rsidRPr="00892788">
        <w:t>280 – 2</w:t>
      </w:r>
      <w:r w:rsidRPr="00892788">
        <w:rPr>
          <w:vertAlign w:val="superscript"/>
        </w:rPr>
        <w:t>nd</w:t>
      </w:r>
      <w:r w:rsidRPr="00892788">
        <w:t xml:space="preserve"> </w:t>
      </w:r>
      <w:r w:rsidR="007B373F" w:rsidRPr="00892788">
        <w:t>period (7/16-12/16)</w:t>
      </w:r>
    </w:p>
    <w:p w14:paraId="7870D15A" w14:textId="0D84715A" w:rsidR="00CC3AC7" w:rsidRPr="00892788" w:rsidRDefault="00CC3AC7" w:rsidP="00CC3AC7">
      <w:pPr>
        <w:pStyle w:val="ListParagraph"/>
        <w:numPr>
          <w:ilvl w:val="0"/>
          <w:numId w:val="2"/>
        </w:numPr>
      </w:pPr>
      <w:r w:rsidRPr="00892788">
        <w:t>344 – 3</w:t>
      </w:r>
      <w:r w:rsidRPr="00892788">
        <w:rPr>
          <w:vertAlign w:val="superscript"/>
        </w:rPr>
        <w:t>rd</w:t>
      </w:r>
      <w:r w:rsidRPr="00892788">
        <w:t xml:space="preserve"> </w:t>
      </w:r>
      <w:r w:rsidR="007B373F" w:rsidRPr="00892788">
        <w:t>period (1/17-6/17)</w:t>
      </w:r>
    </w:p>
    <w:p w14:paraId="5734619B" w14:textId="347AE1F0" w:rsidR="00CC3AC7" w:rsidRPr="00892788" w:rsidRDefault="00CC3AC7" w:rsidP="00CC3AC7">
      <w:pPr>
        <w:pStyle w:val="ListParagraph"/>
        <w:numPr>
          <w:ilvl w:val="0"/>
          <w:numId w:val="2"/>
        </w:numPr>
      </w:pPr>
      <w:r w:rsidRPr="00892788">
        <w:t>437 – 4</w:t>
      </w:r>
      <w:r w:rsidRPr="00892788">
        <w:rPr>
          <w:vertAlign w:val="superscript"/>
        </w:rPr>
        <w:t>th</w:t>
      </w:r>
      <w:r w:rsidRPr="00892788">
        <w:t xml:space="preserve"> period</w:t>
      </w:r>
      <w:r w:rsidR="007B373F" w:rsidRPr="00892788">
        <w:t xml:space="preserve"> (7/17-12/17)</w:t>
      </w:r>
    </w:p>
    <w:p w14:paraId="4A70DF64" w14:textId="268A099F" w:rsidR="007B373F" w:rsidRPr="00892788" w:rsidRDefault="007B373F" w:rsidP="00CC3AC7">
      <w:pPr>
        <w:pStyle w:val="ListParagraph"/>
        <w:numPr>
          <w:ilvl w:val="0"/>
          <w:numId w:val="2"/>
        </w:numPr>
      </w:pPr>
      <w:r w:rsidRPr="00892788">
        <w:t>542 – 5</w:t>
      </w:r>
      <w:r w:rsidRPr="00892788">
        <w:rPr>
          <w:vertAlign w:val="superscript"/>
        </w:rPr>
        <w:t>th</w:t>
      </w:r>
      <w:r w:rsidRPr="00892788">
        <w:t xml:space="preserve"> period (1/18-6/18) (estimate based on 271 – 1/18-3/18)</w:t>
      </w:r>
    </w:p>
    <w:p w14:paraId="72E3C1D3" w14:textId="189FD9BA" w:rsidR="00CC3AC7" w:rsidRPr="00892788" w:rsidRDefault="00CC3AC7" w:rsidP="00CC3AC7">
      <w:pPr>
        <w:rPr>
          <w:color w:val="auto"/>
        </w:rPr>
      </w:pPr>
    </w:p>
    <w:p w14:paraId="7ACBDC2E" w14:textId="1DE45EBD" w:rsidR="002D39A5" w:rsidRPr="00892788" w:rsidRDefault="00003827" w:rsidP="002D39A5">
      <w:r w:rsidRPr="00892788">
        <w:t>1,443</w:t>
      </w:r>
      <w:r w:rsidR="002D39A5" w:rsidRPr="00892788">
        <w:t xml:space="preserve"> forms</w:t>
      </w:r>
      <w:r w:rsidRPr="00892788">
        <w:t xml:space="preserve"> were</w:t>
      </w:r>
      <w:r w:rsidR="002D39A5" w:rsidRPr="00892788">
        <w:t xml:space="preserve"> </w:t>
      </w:r>
      <w:r w:rsidR="002D39A5" w:rsidRPr="00892788">
        <w:rPr>
          <w:i/>
          <w:color w:val="0070C0"/>
        </w:rPr>
        <w:t>examined</w:t>
      </w:r>
      <w:r w:rsidR="002D39A5" w:rsidRPr="00892788">
        <w:rPr>
          <w:color w:val="0070C0"/>
        </w:rPr>
        <w:t xml:space="preserve"> </w:t>
      </w:r>
      <w:r w:rsidR="002D39A5" w:rsidRPr="00892788">
        <w:t xml:space="preserve">from </w:t>
      </w:r>
      <w:r w:rsidRPr="00892788">
        <w:t>10/</w:t>
      </w:r>
      <w:r w:rsidR="00A3052D" w:rsidRPr="00892788">
        <w:t>12/</w:t>
      </w:r>
      <w:r w:rsidRPr="00892788">
        <w:t>15</w:t>
      </w:r>
      <w:r w:rsidR="002D39A5" w:rsidRPr="00892788">
        <w:t xml:space="preserve"> to 31/3/18</w:t>
      </w:r>
    </w:p>
    <w:p w14:paraId="73D77D19" w14:textId="77777777" w:rsidR="002D39A5" w:rsidRPr="00892788" w:rsidRDefault="002D39A5" w:rsidP="00CC3AC7"/>
    <w:p w14:paraId="47707A8E" w14:textId="008E1DAC" w:rsidR="007B373F" w:rsidRPr="00892788" w:rsidRDefault="002D39A5" w:rsidP="00CC3AC7">
      <w:pPr>
        <w:rPr>
          <w:color w:val="auto"/>
        </w:rPr>
      </w:pPr>
      <w:r w:rsidRPr="00892788">
        <w:t xml:space="preserve">1,374 cases were </w:t>
      </w:r>
      <w:r w:rsidRPr="00892788">
        <w:rPr>
          <w:i/>
          <w:color w:val="0070C0"/>
        </w:rPr>
        <w:t>decided</w:t>
      </w:r>
      <w:r w:rsidR="00003827" w:rsidRPr="00892788">
        <w:rPr>
          <w:color w:val="0070C0"/>
        </w:rPr>
        <w:t xml:space="preserve"> </w:t>
      </w:r>
      <w:r w:rsidR="00003827" w:rsidRPr="00892788">
        <w:rPr>
          <w:color w:val="auto"/>
        </w:rPr>
        <w:t>from 10/</w:t>
      </w:r>
      <w:r w:rsidR="00A3052D" w:rsidRPr="00892788">
        <w:rPr>
          <w:color w:val="auto"/>
        </w:rPr>
        <w:t>12/</w:t>
      </w:r>
      <w:r w:rsidR="00003827" w:rsidRPr="00892788">
        <w:rPr>
          <w:color w:val="auto"/>
        </w:rPr>
        <w:t>15 to 31/3/18</w:t>
      </w:r>
    </w:p>
    <w:p w14:paraId="4F3CA620" w14:textId="618F5497" w:rsidR="00003827" w:rsidRPr="00892788" w:rsidRDefault="00003827" w:rsidP="00003827">
      <w:pPr>
        <w:pStyle w:val="ListParagraph"/>
        <w:numPr>
          <w:ilvl w:val="0"/>
          <w:numId w:val="2"/>
        </w:numPr>
        <w:rPr>
          <w:color w:val="auto"/>
        </w:rPr>
      </w:pPr>
      <w:r w:rsidRPr="00892788">
        <w:rPr>
          <w:color w:val="auto"/>
        </w:rPr>
        <w:t>793 – No further information was required</w:t>
      </w:r>
    </w:p>
    <w:p w14:paraId="52AD1FE3" w14:textId="3A5B32B8" w:rsidR="00003827" w:rsidRPr="00892788" w:rsidRDefault="00003827" w:rsidP="00003827">
      <w:pPr>
        <w:pStyle w:val="ListParagraph"/>
        <w:numPr>
          <w:ilvl w:val="0"/>
          <w:numId w:val="2"/>
        </w:numPr>
        <w:rPr>
          <w:color w:val="auto"/>
        </w:rPr>
      </w:pPr>
      <w:r w:rsidRPr="00892788">
        <w:rPr>
          <w:color w:val="auto"/>
        </w:rPr>
        <w:t>581 – More information was required to render a decision</w:t>
      </w:r>
    </w:p>
    <w:p w14:paraId="57B598B4" w14:textId="7F183381" w:rsidR="00003827" w:rsidRPr="00892788" w:rsidRDefault="00003827" w:rsidP="00003827">
      <w:pPr>
        <w:rPr>
          <w:color w:val="auto"/>
        </w:rPr>
      </w:pPr>
    </w:p>
    <w:p w14:paraId="70DCA3FD" w14:textId="36D941DE" w:rsidR="00147575" w:rsidRPr="00892788" w:rsidRDefault="00147575" w:rsidP="00003827">
      <w:r w:rsidRPr="00892788">
        <w:t xml:space="preserve">Of </w:t>
      </w:r>
      <w:r w:rsidRPr="00892788">
        <w:rPr>
          <w:color w:val="0070C0"/>
        </w:rPr>
        <w:t>1,374 cases decided</w:t>
      </w:r>
    </w:p>
    <w:p w14:paraId="2A72BFB9" w14:textId="5134C7AA" w:rsidR="00003827" w:rsidRPr="00892788" w:rsidRDefault="00003827" w:rsidP="00003827">
      <w:r w:rsidRPr="00892788">
        <w:t xml:space="preserve">90% (1,245 cases) </w:t>
      </w:r>
      <w:r w:rsidRPr="00892788">
        <w:rPr>
          <w:color w:val="00B050"/>
        </w:rPr>
        <w:t>complied</w:t>
      </w:r>
    </w:p>
    <w:p w14:paraId="0F31D814" w14:textId="231997AF" w:rsidR="00003827" w:rsidRPr="00892788" w:rsidRDefault="00147575" w:rsidP="00003827">
      <w:r w:rsidRPr="00892788">
        <w:t>4.8</w:t>
      </w:r>
      <w:r w:rsidR="00003827" w:rsidRPr="00892788">
        <w:t xml:space="preserve">% (67 cases) </w:t>
      </w:r>
      <w:r w:rsidR="00003827" w:rsidRPr="00892788">
        <w:rPr>
          <w:color w:val="FFC000"/>
        </w:rPr>
        <w:t>No determination possible</w:t>
      </w:r>
    </w:p>
    <w:p w14:paraId="5E7CC7AF" w14:textId="754B1809" w:rsidR="00003827" w:rsidRPr="00892788" w:rsidRDefault="00147575" w:rsidP="00003827">
      <w:pPr>
        <w:rPr>
          <w:b/>
          <w:color w:val="C00000"/>
        </w:rPr>
      </w:pPr>
      <w:r w:rsidRPr="00892788">
        <w:rPr>
          <w:color w:val="auto"/>
        </w:rPr>
        <w:t xml:space="preserve">4.5% (62 cases) </w:t>
      </w:r>
      <w:r w:rsidRPr="00892788">
        <w:rPr>
          <w:b/>
          <w:color w:val="C00000"/>
        </w:rPr>
        <w:t>Did not comply</w:t>
      </w:r>
    </w:p>
    <w:p w14:paraId="5CE60B54" w14:textId="5E9C780F" w:rsidR="00147575" w:rsidRPr="00892788" w:rsidRDefault="00147575" w:rsidP="00147575">
      <w:pPr>
        <w:pStyle w:val="ListParagraph"/>
        <w:numPr>
          <w:ilvl w:val="0"/>
          <w:numId w:val="2"/>
        </w:numPr>
        <w:rPr>
          <w:color w:val="auto"/>
        </w:rPr>
      </w:pPr>
      <w:r w:rsidRPr="00892788">
        <w:rPr>
          <w:color w:val="auto"/>
        </w:rPr>
        <w:t xml:space="preserve">29 cases </w:t>
      </w:r>
      <w:r w:rsidR="007B226A" w:rsidRPr="00892788">
        <w:t xml:space="preserve">– </w:t>
      </w:r>
      <w:r w:rsidR="007B226A" w:rsidRPr="00892788">
        <w:rPr>
          <w:color w:val="auto"/>
        </w:rPr>
        <w:t>second doctor wasn’t independent</w:t>
      </w:r>
      <w:r w:rsidR="000C6644" w:rsidRPr="00892788">
        <w:rPr>
          <w:color w:val="auto"/>
        </w:rPr>
        <w:t>*</w:t>
      </w:r>
    </w:p>
    <w:p w14:paraId="1F610A10" w14:textId="53D26EEE" w:rsidR="007B226A" w:rsidRPr="00892788" w:rsidRDefault="007B226A" w:rsidP="00147575">
      <w:pPr>
        <w:pStyle w:val="ListParagraph"/>
        <w:numPr>
          <w:ilvl w:val="0"/>
          <w:numId w:val="2"/>
        </w:numPr>
        <w:rPr>
          <w:color w:val="auto"/>
        </w:rPr>
      </w:pPr>
      <w:r w:rsidRPr="00892788">
        <w:rPr>
          <w:color w:val="auto"/>
        </w:rPr>
        <w:t xml:space="preserve">9 cases </w:t>
      </w:r>
      <w:r w:rsidRPr="00892788">
        <w:t>– Doctor didn’t speak to the person on different occasions to ensure persistence of suffering and wish to die, and capacity</w:t>
      </w:r>
    </w:p>
    <w:p w14:paraId="5B555D81" w14:textId="77777777" w:rsidR="007B226A" w:rsidRPr="00892788" w:rsidRDefault="007B226A" w:rsidP="007B226A">
      <w:pPr>
        <w:pStyle w:val="ListParagraph"/>
        <w:numPr>
          <w:ilvl w:val="0"/>
          <w:numId w:val="2"/>
        </w:numPr>
      </w:pPr>
      <w:r w:rsidRPr="00892788">
        <w:t>6 cases – Second doctor signed off before euthanasia request was signed</w:t>
      </w:r>
    </w:p>
    <w:p w14:paraId="2BE9F5B7" w14:textId="77777777" w:rsidR="000C6644" w:rsidRPr="00892788" w:rsidRDefault="000C6644" w:rsidP="000C6644">
      <w:pPr>
        <w:pStyle w:val="ListParagraph"/>
        <w:numPr>
          <w:ilvl w:val="0"/>
          <w:numId w:val="2"/>
        </w:numPr>
      </w:pPr>
      <w:r w:rsidRPr="00892788">
        <w:t xml:space="preserve">7 cases – Person was </w:t>
      </w:r>
      <w:r w:rsidRPr="00892788">
        <w:rPr>
          <w:b/>
          <w:color w:val="C00000"/>
        </w:rPr>
        <w:t>not eligible</w:t>
      </w:r>
      <w:r w:rsidRPr="00892788">
        <w:t xml:space="preserve"> </w:t>
      </w:r>
    </w:p>
    <w:p w14:paraId="498435A3" w14:textId="04954E68" w:rsidR="000C6644" w:rsidRPr="00892788" w:rsidRDefault="000C6644" w:rsidP="000C6644">
      <w:pPr>
        <w:pStyle w:val="ListParagraph"/>
        <w:numPr>
          <w:ilvl w:val="1"/>
          <w:numId w:val="2"/>
        </w:numPr>
      </w:pPr>
      <w:r w:rsidRPr="00892788">
        <w:lastRenderedPageBreak/>
        <w:t xml:space="preserve">5 cases – Person did not have a “serious and incurable </w:t>
      </w:r>
      <w:r w:rsidR="00637BA2" w:rsidRPr="00892788">
        <w:t>illness</w:t>
      </w:r>
      <w:r w:rsidRPr="00892788">
        <w:t>”.</w:t>
      </w:r>
    </w:p>
    <w:p w14:paraId="700A84FB" w14:textId="77777777" w:rsidR="000C6644" w:rsidRPr="00892788" w:rsidRDefault="000C6644" w:rsidP="000C6644">
      <w:pPr>
        <w:pStyle w:val="ListParagraph"/>
        <w:numPr>
          <w:ilvl w:val="1"/>
          <w:numId w:val="2"/>
        </w:numPr>
      </w:pPr>
      <w:r w:rsidRPr="00892788">
        <w:t>2 cases – The person was not at the end of life,</w:t>
      </w:r>
    </w:p>
    <w:p w14:paraId="5DEDC872" w14:textId="6D09506B" w:rsidR="007B226A" w:rsidRPr="00892788" w:rsidRDefault="007B226A" w:rsidP="007B226A">
      <w:pPr>
        <w:pStyle w:val="ListParagraph"/>
        <w:numPr>
          <w:ilvl w:val="0"/>
          <w:numId w:val="2"/>
        </w:numPr>
      </w:pPr>
      <w:r w:rsidRPr="00892788">
        <w:t>5 cases – The person who countersigned the request was not a health care professional.</w:t>
      </w:r>
    </w:p>
    <w:p w14:paraId="3F2A86DA" w14:textId="31C6A78A" w:rsidR="007B226A" w:rsidRPr="00892788" w:rsidRDefault="007B226A" w:rsidP="007B226A">
      <w:pPr>
        <w:pStyle w:val="ListParagraph"/>
        <w:numPr>
          <w:ilvl w:val="0"/>
          <w:numId w:val="2"/>
        </w:numPr>
      </w:pPr>
      <w:r w:rsidRPr="00892788">
        <w:t>4 cases – The person did not have health insurance</w:t>
      </w:r>
    </w:p>
    <w:p w14:paraId="147E196D" w14:textId="33B6C06D" w:rsidR="007B226A" w:rsidRPr="00892788" w:rsidRDefault="007B226A" w:rsidP="007B226A">
      <w:pPr>
        <w:pStyle w:val="ListParagraph"/>
        <w:numPr>
          <w:ilvl w:val="0"/>
          <w:numId w:val="2"/>
        </w:numPr>
      </w:pPr>
      <w:r w:rsidRPr="00892788">
        <w:t>2 cases – Doctor did not ensure compliance with safeguards.</w:t>
      </w:r>
    </w:p>
    <w:p w14:paraId="0500DB6F" w14:textId="77D7869A" w:rsidR="000C6644" w:rsidRPr="00892788" w:rsidRDefault="000C6644" w:rsidP="000C6644">
      <w:r w:rsidRPr="00892788">
        <w:t>*Note that the second doctor is no longer required to be independent as of February of 2017.</w:t>
      </w:r>
    </w:p>
    <w:p w14:paraId="44A22AF6" w14:textId="4500AC96" w:rsidR="007B226A" w:rsidRPr="00892788" w:rsidRDefault="007B226A" w:rsidP="007B226A"/>
    <w:p w14:paraId="5E4B91A5" w14:textId="77777777" w:rsidR="00E354E3" w:rsidRPr="00892788" w:rsidRDefault="00E354E3" w:rsidP="00E354E3">
      <w:r w:rsidRPr="00892788">
        <w:t>INFORMATION SUBMITTED BY THE CMQ AND INSTITUTIONS</w:t>
      </w:r>
    </w:p>
    <w:p w14:paraId="141F5EC1" w14:textId="77777777" w:rsidR="00E354E3" w:rsidRPr="00892788" w:rsidRDefault="00E354E3" w:rsidP="00E354E3"/>
    <w:p w14:paraId="45E9DAD2" w14:textId="1A2AE225" w:rsidR="00E354E3" w:rsidRPr="00892788" w:rsidRDefault="00E354E3" w:rsidP="00E354E3">
      <w:pPr>
        <w:rPr>
          <w:color w:val="auto"/>
        </w:rPr>
      </w:pPr>
      <w:r w:rsidRPr="00892788">
        <w:rPr>
          <w:color w:val="auto"/>
        </w:rPr>
        <w:t xml:space="preserve">1,831 </w:t>
      </w:r>
      <w:r w:rsidRPr="00892788">
        <w:rPr>
          <w:color w:val="ED7D31" w:themeColor="accent2"/>
        </w:rPr>
        <w:t>Continuous Palliative Sedations</w:t>
      </w:r>
      <w:r w:rsidRPr="00892788">
        <w:rPr>
          <w:color w:val="auto"/>
        </w:rPr>
        <w:t xml:space="preserve"> were reported</w:t>
      </w:r>
    </w:p>
    <w:p w14:paraId="7A3256E4" w14:textId="783C6488" w:rsidR="00E354E3" w:rsidRPr="00892788" w:rsidRDefault="00E354E3" w:rsidP="00E354E3"/>
    <w:p w14:paraId="13DFC910" w14:textId="77777777" w:rsidR="00126305" w:rsidRPr="00892788" w:rsidRDefault="00E354E3" w:rsidP="00E354E3">
      <w:r w:rsidRPr="00892788">
        <w:t xml:space="preserve">2,482* requests for euthanasia received </w:t>
      </w:r>
    </w:p>
    <w:p w14:paraId="0B312110" w14:textId="5151BA8E" w:rsidR="00126305" w:rsidRPr="00892788" w:rsidRDefault="00126305" w:rsidP="00126305">
      <w:r w:rsidRPr="00892788">
        <w:t xml:space="preserve">36% (887) </w:t>
      </w:r>
      <w:r w:rsidR="002948B6" w:rsidRPr="00892788">
        <w:t>euthanasia not administered</w:t>
      </w:r>
    </w:p>
    <w:p w14:paraId="76CE29C4" w14:textId="77777777" w:rsidR="00126305" w:rsidRPr="00892788" w:rsidRDefault="00126305" w:rsidP="00126305">
      <w:r w:rsidRPr="00892788">
        <w:rPr>
          <w:color w:val="auto"/>
        </w:rPr>
        <w:t xml:space="preserve">64% </w:t>
      </w:r>
      <w:r w:rsidRPr="00892788">
        <w:rPr>
          <w:color w:val="FF0000"/>
        </w:rPr>
        <w:t>(1,664) euthanasia</w:t>
      </w:r>
      <w:r w:rsidRPr="00892788">
        <w:t xml:space="preserve"> administered</w:t>
      </w:r>
    </w:p>
    <w:p w14:paraId="5E2544EE" w14:textId="77777777" w:rsidR="00126305" w:rsidRPr="00892788" w:rsidRDefault="00126305" w:rsidP="00126305">
      <w:pPr>
        <w:pStyle w:val="ListParagraph"/>
        <w:numPr>
          <w:ilvl w:val="0"/>
          <w:numId w:val="2"/>
        </w:numPr>
      </w:pPr>
      <w:r w:rsidRPr="00892788">
        <w:t>1603 by institutions</w:t>
      </w:r>
    </w:p>
    <w:p w14:paraId="08161490" w14:textId="72B21CB4" w:rsidR="00126305" w:rsidRPr="00892788" w:rsidRDefault="00126305" w:rsidP="00E354E3">
      <w:pPr>
        <w:pStyle w:val="ListParagraph"/>
        <w:numPr>
          <w:ilvl w:val="0"/>
          <w:numId w:val="2"/>
        </w:numPr>
      </w:pPr>
      <w:r w:rsidRPr="00892788">
        <w:t>61 by the CMQ</w:t>
      </w:r>
      <w:r w:rsidR="00034262" w:rsidRPr="00892788">
        <w:t xml:space="preserve">.  </w:t>
      </w:r>
    </w:p>
    <w:p w14:paraId="1ED55AF9" w14:textId="77777777" w:rsidR="00126305" w:rsidRPr="00892788" w:rsidRDefault="00126305" w:rsidP="00E354E3"/>
    <w:p w14:paraId="3FE9B16A" w14:textId="620049C7" w:rsidR="00E354E3" w:rsidRPr="00892788" w:rsidRDefault="002948B6" w:rsidP="00E354E3">
      <w:r w:rsidRPr="00892788">
        <w:t xml:space="preserve">*887 + 1664 = 2551.  </w:t>
      </w:r>
      <w:r w:rsidR="001435E5" w:rsidRPr="00892788">
        <w:rPr>
          <w:color w:val="auto"/>
        </w:rPr>
        <w:t>The report does not account for the discrepancy of 69 cases.  Since the table of reasons euthanasia was not administered adds up to 887, we can only presume that either the 2,482 or the 1664 figure is wrong.</w:t>
      </w:r>
    </w:p>
    <w:p w14:paraId="572DE738" w14:textId="170C3BEB" w:rsidR="00034262" w:rsidRPr="00892788" w:rsidRDefault="00034262" w:rsidP="00E354E3"/>
    <w:p w14:paraId="4B63616A" w14:textId="62FD0822" w:rsidR="00034262" w:rsidRPr="00892788" w:rsidRDefault="001435E5" w:rsidP="00E354E3">
      <w:pPr>
        <w:rPr>
          <w:color w:val="auto"/>
        </w:rPr>
      </w:pPr>
      <w:r w:rsidRPr="00892788">
        <w:rPr>
          <w:color w:val="auto"/>
        </w:rPr>
        <w:t xml:space="preserve">More, worrisome, however is that </w:t>
      </w:r>
      <w:r w:rsidR="00034262" w:rsidRPr="00892788">
        <w:rPr>
          <w:color w:val="C00000"/>
        </w:rPr>
        <w:t>the report address the</w:t>
      </w:r>
      <w:r w:rsidR="00034262" w:rsidRPr="00892788">
        <w:rPr>
          <w:b/>
          <w:color w:val="C00000"/>
        </w:rPr>
        <w:t xml:space="preserve"> </w:t>
      </w:r>
      <w:r w:rsidR="00034262" w:rsidRPr="00892788">
        <w:rPr>
          <w:color w:val="C00000"/>
        </w:rPr>
        <w:t>difference between</w:t>
      </w:r>
      <w:r w:rsidR="00034262" w:rsidRPr="00892788">
        <w:rPr>
          <w:b/>
          <w:color w:val="C00000"/>
        </w:rPr>
        <w:t xml:space="preserve"> 1493 Euthanasia report forms </w:t>
      </w:r>
      <w:r w:rsidR="00034262" w:rsidRPr="00892788">
        <w:rPr>
          <w:color w:val="C00000"/>
        </w:rPr>
        <w:t>received from doctors, and</w:t>
      </w:r>
      <w:r w:rsidR="00034262" w:rsidRPr="00892788">
        <w:rPr>
          <w:b/>
          <w:color w:val="C00000"/>
        </w:rPr>
        <w:t xml:space="preserve"> 1664 euthanasia </w:t>
      </w:r>
      <w:r w:rsidR="00034262" w:rsidRPr="00892788">
        <w:rPr>
          <w:color w:val="C00000"/>
        </w:rPr>
        <w:t>reported by the CMQ and institutions</w:t>
      </w:r>
      <w:r w:rsidR="00034262" w:rsidRPr="00892788">
        <w:rPr>
          <w:b/>
          <w:color w:val="C00000"/>
        </w:rPr>
        <w:t xml:space="preserve"> </w:t>
      </w:r>
      <w:r w:rsidR="00034262" w:rsidRPr="00892788">
        <w:rPr>
          <w:b/>
          <w:color w:val="FF0000"/>
        </w:rPr>
        <w:t>(</w:t>
      </w:r>
      <w:r w:rsidRPr="00892788">
        <w:rPr>
          <w:b/>
          <w:color w:val="FF0000"/>
        </w:rPr>
        <w:t xml:space="preserve">a total of </w:t>
      </w:r>
      <w:r w:rsidR="00034262" w:rsidRPr="00892788">
        <w:rPr>
          <w:b/>
          <w:color w:val="FF0000"/>
        </w:rPr>
        <w:t>171 deaths)</w:t>
      </w:r>
      <w:r w:rsidR="00034262" w:rsidRPr="00892788">
        <w:rPr>
          <w:b/>
          <w:color w:val="C00000"/>
        </w:rPr>
        <w:t>.</w:t>
      </w:r>
    </w:p>
    <w:p w14:paraId="7DA33D54" w14:textId="7A74C290" w:rsidR="00810287" w:rsidRPr="00892788" w:rsidRDefault="00810287" w:rsidP="00E354E3">
      <w:pPr>
        <w:rPr>
          <w:color w:val="auto"/>
        </w:rPr>
      </w:pPr>
    </w:p>
    <w:p w14:paraId="6C5902AC" w14:textId="3D816DB6" w:rsidR="00810287" w:rsidRPr="00892788" w:rsidRDefault="00810287" w:rsidP="00E354E3">
      <w:pPr>
        <w:rPr>
          <w:color w:val="auto"/>
        </w:rPr>
      </w:pPr>
      <w:r w:rsidRPr="00892788">
        <w:rPr>
          <w:color w:val="auto"/>
        </w:rPr>
        <w:t>Reasons euthanasia was not administered:</w:t>
      </w:r>
    </w:p>
    <w:p w14:paraId="1816DD1D" w14:textId="4500DF8D" w:rsidR="00810287" w:rsidRPr="00892788" w:rsidRDefault="00810287" w:rsidP="00810287">
      <w:pPr>
        <w:pStyle w:val="ListParagraph"/>
        <w:numPr>
          <w:ilvl w:val="0"/>
          <w:numId w:val="2"/>
        </w:numPr>
        <w:rPr>
          <w:color w:val="auto"/>
        </w:rPr>
      </w:pPr>
      <w:r w:rsidRPr="00892788">
        <w:rPr>
          <w:color w:val="auto"/>
        </w:rPr>
        <w:t>3</w:t>
      </w:r>
      <w:r w:rsidR="00B06F9E" w:rsidRPr="00892788">
        <w:rPr>
          <w:color w:val="auto"/>
        </w:rPr>
        <w:t>8.8</w:t>
      </w:r>
      <w:r w:rsidRPr="00892788">
        <w:rPr>
          <w:color w:val="auto"/>
        </w:rPr>
        <w:t>% (344) were not eligible, or became ineligible</w:t>
      </w:r>
    </w:p>
    <w:p w14:paraId="1A5B56F5" w14:textId="2D732C76" w:rsidR="00810287" w:rsidRPr="00892788" w:rsidRDefault="00810287" w:rsidP="00810287">
      <w:pPr>
        <w:pStyle w:val="ListParagraph"/>
        <w:numPr>
          <w:ilvl w:val="0"/>
          <w:numId w:val="2"/>
        </w:numPr>
        <w:rPr>
          <w:color w:val="auto"/>
        </w:rPr>
      </w:pPr>
      <w:r w:rsidRPr="00892788">
        <w:rPr>
          <w:color w:val="auto"/>
        </w:rPr>
        <w:t>3</w:t>
      </w:r>
      <w:r w:rsidR="00C47C9A" w:rsidRPr="00892788">
        <w:rPr>
          <w:color w:val="auto"/>
        </w:rPr>
        <w:t>2.6</w:t>
      </w:r>
      <w:r w:rsidRPr="00892788">
        <w:rPr>
          <w:color w:val="auto"/>
        </w:rPr>
        <w:t>% (289) died before evaluation was completed or euthanasia was given.</w:t>
      </w:r>
    </w:p>
    <w:p w14:paraId="1B0C137B" w14:textId="07D1CB82" w:rsidR="00810287" w:rsidRPr="00892788" w:rsidRDefault="00810287" w:rsidP="00810287">
      <w:pPr>
        <w:pStyle w:val="ListParagraph"/>
        <w:numPr>
          <w:ilvl w:val="0"/>
          <w:numId w:val="2"/>
        </w:numPr>
        <w:rPr>
          <w:color w:val="auto"/>
        </w:rPr>
      </w:pPr>
      <w:r w:rsidRPr="00892788">
        <w:rPr>
          <w:color w:val="auto"/>
        </w:rPr>
        <w:lastRenderedPageBreak/>
        <w:t>14</w:t>
      </w:r>
      <w:r w:rsidR="00C47C9A" w:rsidRPr="00892788">
        <w:rPr>
          <w:color w:val="auto"/>
        </w:rPr>
        <w:t>.4</w:t>
      </w:r>
      <w:r w:rsidRPr="00892788">
        <w:rPr>
          <w:color w:val="auto"/>
        </w:rPr>
        <w:t>% (128) withdrew the request</w:t>
      </w:r>
    </w:p>
    <w:p w14:paraId="395411DA" w14:textId="572130C9" w:rsidR="00810287" w:rsidRPr="00892788" w:rsidRDefault="00C47C9A" w:rsidP="00810287">
      <w:pPr>
        <w:pStyle w:val="ListParagraph"/>
        <w:numPr>
          <w:ilvl w:val="0"/>
          <w:numId w:val="2"/>
        </w:numPr>
        <w:rPr>
          <w:color w:val="auto"/>
        </w:rPr>
      </w:pPr>
      <w:r w:rsidRPr="00892788">
        <w:rPr>
          <w:color w:val="auto"/>
        </w:rPr>
        <w:t>8.1%</w:t>
      </w:r>
      <w:r w:rsidR="00810287" w:rsidRPr="00892788">
        <w:rPr>
          <w:color w:val="auto"/>
        </w:rPr>
        <w:t xml:space="preserve"> (72) opted for another treatment option</w:t>
      </w:r>
    </w:p>
    <w:p w14:paraId="693DAC90" w14:textId="2F59729A" w:rsidR="00810287" w:rsidRPr="00892788" w:rsidRDefault="00810287" w:rsidP="00810287">
      <w:pPr>
        <w:pStyle w:val="ListParagraph"/>
        <w:numPr>
          <w:ilvl w:val="0"/>
          <w:numId w:val="2"/>
        </w:numPr>
        <w:rPr>
          <w:color w:val="auto"/>
        </w:rPr>
      </w:pPr>
      <w:r w:rsidRPr="00892788">
        <w:rPr>
          <w:color w:val="auto"/>
        </w:rPr>
        <w:t>3.</w:t>
      </w:r>
      <w:r w:rsidR="00C47C9A" w:rsidRPr="00892788">
        <w:rPr>
          <w:color w:val="auto"/>
        </w:rPr>
        <w:t>5%</w:t>
      </w:r>
      <w:r w:rsidRPr="00892788">
        <w:rPr>
          <w:color w:val="auto"/>
        </w:rPr>
        <w:t xml:space="preserve"> (31) requests were in process of evaluation</w:t>
      </w:r>
    </w:p>
    <w:p w14:paraId="295AB0F1" w14:textId="52B24BF5" w:rsidR="00810287" w:rsidRPr="00892788" w:rsidRDefault="00810287" w:rsidP="00810287">
      <w:pPr>
        <w:pStyle w:val="ListParagraph"/>
        <w:numPr>
          <w:ilvl w:val="0"/>
          <w:numId w:val="2"/>
        </w:numPr>
        <w:rPr>
          <w:color w:val="auto"/>
        </w:rPr>
      </w:pPr>
      <w:r w:rsidRPr="00892788">
        <w:rPr>
          <w:color w:val="auto"/>
        </w:rPr>
        <w:t>2.</w:t>
      </w:r>
      <w:r w:rsidR="00C47C9A" w:rsidRPr="00892788">
        <w:rPr>
          <w:color w:val="auto"/>
        </w:rPr>
        <w:t>6%</w:t>
      </w:r>
      <w:r w:rsidRPr="00892788">
        <w:rPr>
          <w:color w:val="auto"/>
        </w:rPr>
        <w:t xml:space="preserve"> (23) went home or were transferred to palliative care or another facility.</w:t>
      </w:r>
    </w:p>
    <w:p w14:paraId="1D18D324" w14:textId="6EE7DB22" w:rsidR="00D911FC" w:rsidRPr="00892788" w:rsidRDefault="00D911FC" w:rsidP="00D911FC">
      <w:pPr>
        <w:rPr>
          <w:color w:val="auto"/>
        </w:rPr>
      </w:pPr>
    </w:p>
    <w:p w14:paraId="4FCE9ABE" w14:textId="5AB832E2" w:rsidR="00D911FC" w:rsidRPr="00892788" w:rsidRDefault="004C01EB" w:rsidP="00D911FC">
      <w:pPr>
        <w:rPr>
          <w:color w:val="auto"/>
        </w:rPr>
      </w:pPr>
      <w:r>
        <w:rPr>
          <w:color w:val="auto"/>
        </w:rPr>
        <w:t xml:space="preserve">Summary of report from </w:t>
      </w:r>
      <w:r w:rsidR="00D911FC" w:rsidRPr="00892788">
        <w:rPr>
          <w:color w:val="auto"/>
        </w:rPr>
        <w:t>webcast</w:t>
      </w:r>
      <w:bookmarkStart w:id="0" w:name="_GoBack"/>
      <w:bookmarkEnd w:id="0"/>
    </w:p>
    <w:p w14:paraId="7E3A3034" w14:textId="19583EFE" w:rsidR="00D911FC" w:rsidRPr="004C01EB" w:rsidRDefault="00D911FC" w:rsidP="00D911FC">
      <w:pPr>
        <w:rPr>
          <w:color w:val="auto"/>
        </w:rPr>
      </w:pPr>
    </w:p>
    <w:p w14:paraId="2EA65AEF" w14:textId="77777777" w:rsidR="004C01EB" w:rsidRPr="004C01EB" w:rsidRDefault="004C01EB" w:rsidP="004C01EB">
      <w:pPr>
        <w:spacing w:after="180"/>
        <w:rPr>
          <w:b/>
        </w:rPr>
      </w:pPr>
      <w:r w:rsidRPr="004C01EB">
        <w:rPr>
          <w:b/>
        </w:rPr>
        <w:t>THIRD REPORT FROM QUÉBEC’S EUTHANASIA COMMISSION</w:t>
      </w:r>
    </w:p>
    <w:p w14:paraId="3EFB5984" w14:textId="77777777" w:rsidR="004C01EB" w:rsidRPr="004C01EB" w:rsidRDefault="004C01EB" w:rsidP="004C01EB">
      <w:pPr>
        <w:pStyle w:val="ListParagraph"/>
        <w:numPr>
          <w:ilvl w:val="0"/>
          <w:numId w:val="4"/>
        </w:numPr>
        <w:spacing w:after="180"/>
        <w:contextualSpacing w:val="0"/>
      </w:pPr>
      <w:r w:rsidRPr="004C01EB">
        <w:t>Three years ago, on December 10, 2015, Québec’s euthanasia program went into effect.  Unlike the federal law, Québec provides euthanasia upon request to eligible persons, as well as  “Continuous Palliative Sedation” without the eligibility requirements and safeguards connected to a euthanasia request.</w:t>
      </w:r>
    </w:p>
    <w:p w14:paraId="4BA5FCDC" w14:textId="77777777" w:rsidR="004C01EB" w:rsidRPr="004C01EB" w:rsidRDefault="004C01EB" w:rsidP="004C01EB">
      <w:pPr>
        <w:pStyle w:val="ListParagraph"/>
        <w:numPr>
          <w:ilvl w:val="0"/>
          <w:numId w:val="4"/>
        </w:numPr>
        <w:spacing w:after="180"/>
        <w:contextualSpacing w:val="0"/>
      </w:pPr>
      <w:r w:rsidRPr="004C01EB">
        <w:t xml:space="preserve">The Commission on end of life care released its </w:t>
      </w:r>
      <w:hyperlink r:id="rId5" w:history="1">
        <w:r w:rsidRPr="004C01EB">
          <w:rPr>
            <w:rStyle w:val="Hyperlink"/>
          </w:rPr>
          <w:t>third report</w:t>
        </w:r>
      </w:hyperlink>
      <w:r w:rsidRPr="004C01EB">
        <w:t xml:space="preserve"> on the province’s euthanasia program on December 7, covering the period from July 1, 2017 to March 31, 2018, with cumulative data from December of 2015.  The Commission adjusted the reporting period to coincide with Québec’s fiscal year, which runs from April 1 to March 31.</w:t>
      </w:r>
    </w:p>
    <w:p w14:paraId="39E270F1" w14:textId="77777777" w:rsidR="004C01EB" w:rsidRPr="004C01EB" w:rsidRDefault="004C01EB" w:rsidP="004C01EB">
      <w:pPr>
        <w:pStyle w:val="ListParagraph"/>
        <w:numPr>
          <w:ilvl w:val="0"/>
          <w:numId w:val="4"/>
        </w:numPr>
        <w:spacing w:after="180"/>
        <w:contextualSpacing w:val="0"/>
      </w:pPr>
      <w:r w:rsidRPr="004C01EB">
        <w:t xml:space="preserve">As in previous reports from Québec, the most striking fact in this third report is the difference between the number of euthanasia reports submitted by doctors, and the number of euthanasia reported by institutions and the Collège des </w:t>
      </w:r>
      <w:proofErr w:type="spellStart"/>
      <w:r w:rsidRPr="004C01EB">
        <w:t>médecins</w:t>
      </w:r>
      <w:proofErr w:type="spellEnd"/>
      <w:r w:rsidRPr="004C01EB">
        <w:t xml:space="preserve"> du Québec.  During the reporting period, the Commission received 708 forms (including five for deaths administered in previous years) while this second stream of information showed 845 cases of euthanasia (a difference of 142 deaths during the reporting period).  The report does not acknowledge, or attempt to explain this difference.</w:t>
      </w:r>
    </w:p>
    <w:p w14:paraId="3F13B268" w14:textId="77777777" w:rsidR="004C01EB" w:rsidRPr="004C01EB" w:rsidRDefault="004C01EB" w:rsidP="004C01EB">
      <w:pPr>
        <w:pStyle w:val="ListParagraph"/>
        <w:numPr>
          <w:ilvl w:val="0"/>
          <w:numId w:val="4"/>
        </w:numPr>
        <w:spacing w:after="180"/>
        <w:contextualSpacing w:val="0"/>
      </w:pPr>
      <w:r w:rsidRPr="004C01EB">
        <w:t xml:space="preserve">We did a summary of the report’s statistics, which we will put up on our </w:t>
      </w:r>
      <w:hyperlink r:id="rId6" w:history="1">
        <w:r w:rsidRPr="004C01EB">
          <w:rPr>
            <w:rStyle w:val="Hyperlink"/>
          </w:rPr>
          <w:t>website</w:t>
        </w:r>
      </w:hyperlink>
      <w:r w:rsidRPr="004C01EB">
        <w:t xml:space="preserve"> in the documents/reports section.  </w:t>
      </w:r>
    </w:p>
    <w:p w14:paraId="71B005FD" w14:textId="77777777" w:rsidR="004C01EB" w:rsidRPr="004C01EB" w:rsidRDefault="004C01EB" w:rsidP="004C01EB">
      <w:pPr>
        <w:pStyle w:val="ListParagraph"/>
        <w:numPr>
          <w:ilvl w:val="0"/>
          <w:numId w:val="4"/>
        </w:numPr>
        <w:spacing w:after="180"/>
        <w:contextualSpacing w:val="0"/>
      </w:pPr>
      <w:r w:rsidRPr="004C01EB">
        <w:lastRenderedPageBreak/>
        <w:t>The Commission reported that 45% of the forms filed by doctors needed follow-up for additional information.  Letters and telephone calls were required for 334 forms, and 90 doctors received a second letter when they failed to provide the information the Commission asked for.</w:t>
      </w:r>
    </w:p>
    <w:p w14:paraId="08E29C52" w14:textId="77777777" w:rsidR="004C01EB" w:rsidRPr="004C01EB" w:rsidRDefault="004C01EB" w:rsidP="004C01EB">
      <w:pPr>
        <w:pStyle w:val="ListParagraph"/>
        <w:numPr>
          <w:ilvl w:val="0"/>
          <w:numId w:val="4"/>
        </w:numPr>
        <w:spacing w:after="180"/>
        <w:contextualSpacing w:val="0"/>
      </w:pPr>
      <w:r w:rsidRPr="004C01EB">
        <w:t xml:space="preserve">The Commission </w:t>
      </w:r>
      <w:r w:rsidRPr="004C01EB">
        <w:rPr>
          <w:b/>
        </w:rPr>
        <w:t>examined</w:t>
      </w:r>
      <w:r w:rsidRPr="004C01EB">
        <w:t xml:space="preserve"> a total of 782 forms during the reporting period, </w:t>
      </w:r>
    </w:p>
    <w:p w14:paraId="7893AE5B" w14:textId="77777777" w:rsidR="004C01EB" w:rsidRPr="004C01EB" w:rsidRDefault="004C01EB" w:rsidP="004C01EB">
      <w:pPr>
        <w:pStyle w:val="ListParagraph"/>
        <w:numPr>
          <w:ilvl w:val="1"/>
          <w:numId w:val="4"/>
        </w:numPr>
        <w:spacing w:after="180"/>
        <w:ind w:left="786"/>
        <w:contextualSpacing w:val="0"/>
      </w:pPr>
      <w:r w:rsidRPr="004C01EB">
        <w:t>741 were looked at for the first time.</w:t>
      </w:r>
    </w:p>
    <w:p w14:paraId="5494DE94" w14:textId="77777777" w:rsidR="004C01EB" w:rsidRPr="004C01EB" w:rsidRDefault="004C01EB" w:rsidP="004C01EB">
      <w:pPr>
        <w:pStyle w:val="ListParagraph"/>
        <w:numPr>
          <w:ilvl w:val="1"/>
          <w:numId w:val="4"/>
        </w:numPr>
        <w:spacing w:after="180"/>
        <w:ind w:left="786"/>
        <w:contextualSpacing w:val="0"/>
      </w:pPr>
      <w:r w:rsidRPr="004C01EB">
        <w:t xml:space="preserve">41 were given a second look, in light of additional information received.  </w:t>
      </w:r>
    </w:p>
    <w:p w14:paraId="6E2BC7FA" w14:textId="77777777" w:rsidR="004C01EB" w:rsidRPr="004C01EB" w:rsidRDefault="004C01EB" w:rsidP="004C01EB">
      <w:pPr>
        <w:pStyle w:val="ListParagraph"/>
        <w:numPr>
          <w:ilvl w:val="1"/>
          <w:numId w:val="4"/>
        </w:numPr>
        <w:spacing w:after="180"/>
        <w:ind w:left="786"/>
        <w:contextualSpacing w:val="0"/>
      </w:pPr>
      <w:r w:rsidRPr="004C01EB">
        <w:t>658 were forms that came in during the current period.</w:t>
      </w:r>
    </w:p>
    <w:p w14:paraId="20A3B776" w14:textId="77777777" w:rsidR="004C01EB" w:rsidRPr="004C01EB" w:rsidRDefault="004C01EB" w:rsidP="004C01EB">
      <w:pPr>
        <w:pStyle w:val="ListParagraph"/>
        <w:numPr>
          <w:ilvl w:val="1"/>
          <w:numId w:val="4"/>
        </w:numPr>
        <w:spacing w:after="180"/>
        <w:ind w:left="786"/>
        <w:contextualSpacing w:val="0"/>
      </w:pPr>
      <w:r w:rsidRPr="004C01EB">
        <w:t>83 cases were held over from year.</w:t>
      </w:r>
    </w:p>
    <w:p w14:paraId="43C1E43D" w14:textId="77777777" w:rsidR="004C01EB" w:rsidRPr="004C01EB" w:rsidRDefault="004C01EB" w:rsidP="004C01EB">
      <w:pPr>
        <w:pStyle w:val="ListParagraph"/>
        <w:numPr>
          <w:ilvl w:val="0"/>
          <w:numId w:val="4"/>
        </w:numPr>
        <w:spacing w:after="180"/>
        <w:contextualSpacing w:val="0"/>
      </w:pPr>
      <w:r w:rsidRPr="004C01EB">
        <w:t xml:space="preserve">727 cases were </w:t>
      </w:r>
      <w:r w:rsidRPr="004C01EB">
        <w:rPr>
          <w:b/>
        </w:rPr>
        <w:t>decided</w:t>
      </w:r>
      <w:r w:rsidRPr="004C01EB">
        <w:t xml:space="preserve"> during the reporting period.  Of those, the Commission found:</w:t>
      </w:r>
    </w:p>
    <w:p w14:paraId="005DBEBF" w14:textId="77777777" w:rsidR="004C01EB" w:rsidRPr="004C01EB" w:rsidRDefault="004C01EB" w:rsidP="004C01EB">
      <w:pPr>
        <w:pStyle w:val="ListParagraph"/>
        <w:numPr>
          <w:ilvl w:val="1"/>
          <w:numId w:val="4"/>
        </w:numPr>
        <w:spacing w:after="180"/>
        <w:ind w:left="786"/>
        <w:contextualSpacing w:val="0"/>
      </w:pPr>
      <w:r w:rsidRPr="004C01EB">
        <w:t>90% (658) complied with the Québec eligibility criteria and safeguards;</w:t>
      </w:r>
    </w:p>
    <w:p w14:paraId="276B5CE9" w14:textId="77777777" w:rsidR="004C01EB" w:rsidRPr="004C01EB" w:rsidRDefault="004C01EB" w:rsidP="004C01EB">
      <w:pPr>
        <w:pStyle w:val="ListParagraph"/>
        <w:numPr>
          <w:ilvl w:val="1"/>
          <w:numId w:val="4"/>
        </w:numPr>
        <w:spacing w:after="180"/>
        <w:ind w:left="786"/>
        <w:contextualSpacing w:val="0"/>
      </w:pPr>
      <w:r w:rsidRPr="004C01EB">
        <w:t>In 7% of cases (50) no determination of compliance was possible, because:</w:t>
      </w:r>
    </w:p>
    <w:p w14:paraId="5CD820F9" w14:textId="77777777" w:rsidR="004C01EB" w:rsidRPr="004C01EB" w:rsidRDefault="004C01EB" w:rsidP="004C01EB">
      <w:pPr>
        <w:pStyle w:val="ListParagraph"/>
        <w:numPr>
          <w:ilvl w:val="2"/>
          <w:numId w:val="4"/>
        </w:numPr>
        <w:spacing w:after="180"/>
        <w:contextualSpacing w:val="0"/>
      </w:pPr>
      <w:r w:rsidRPr="004C01EB">
        <w:t>Additional information was not provided (23 cases)</w:t>
      </w:r>
    </w:p>
    <w:p w14:paraId="6A75DFE0" w14:textId="77777777" w:rsidR="004C01EB" w:rsidRPr="004C01EB" w:rsidRDefault="004C01EB" w:rsidP="004C01EB">
      <w:pPr>
        <w:pStyle w:val="ListParagraph"/>
        <w:numPr>
          <w:ilvl w:val="2"/>
          <w:numId w:val="4"/>
        </w:numPr>
        <w:spacing w:after="180"/>
        <w:contextualSpacing w:val="0"/>
      </w:pPr>
      <w:r w:rsidRPr="004C01EB">
        <w:t>In 27 cases, the information provided was still not enough to decide whether the doctor complied with the law.</w:t>
      </w:r>
    </w:p>
    <w:p w14:paraId="471A7209" w14:textId="77777777" w:rsidR="004C01EB" w:rsidRPr="004C01EB" w:rsidRDefault="004C01EB" w:rsidP="004C01EB">
      <w:pPr>
        <w:pStyle w:val="ListParagraph"/>
        <w:numPr>
          <w:ilvl w:val="1"/>
          <w:numId w:val="4"/>
        </w:numPr>
        <w:spacing w:after="180"/>
        <w:ind w:left="786"/>
        <w:contextualSpacing w:val="0"/>
      </w:pPr>
      <w:r w:rsidRPr="004C01EB">
        <w:t xml:space="preserve">3% (19 cases) </w:t>
      </w:r>
      <w:r w:rsidRPr="004C01EB">
        <w:rPr>
          <w:b/>
        </w:rPr>
        <w:t>did not comply</w:t>
      </w:r>
      <w:r w:rsidRPr="004C01EB">
        <w:t xml:space="preserve"> with the eligibility criteria and safeguards.  This included:</w:t>
      </w:r>
    </w:p>
    <w:p w14:paraId="5C959F0E" w14:textId="77777777" w:rsidR="004C01EB" w:rsidRPr="004C01EB" w:rsidRDefault="004C01EB" w:rsidP="004C01EB">
      <w:pPr>
        <w:pStyle w:val="ListParagraph"/>
        <w:numPr>
          <w:ilvl w:val="2"/>
          <w:numId w:val="4"/>
        </w:numPr>
        <w:spacing w:after="180"/>
        <w:contextualSpacing w:val="0"/>
      </w:pPr>
      <w:r w:rsidRPr="004C01EB">
        <w:t xml:space="preserve">three people who were </w:t>
      </w:r>
      <w:r w:rsidRPr="004C01EB">
        <w:rPr>
          <w:b/>
        </w:rPr>
        <w:t>not eligible</w:t>
      </w:r>
      <w:r w:rsidRPr="004C01EB">
        <w:t xml:space="preserve"> because they did not have a “serious and incurable illness;” and</w:t>
      </w:r>
    </w:p>
    <w:p w14:paraId="7303C97A" w14:textId="77777777" w:rsidR="004C01EB" w:rsidRPr="004C01EB" w:rsidRDefault="004C01EB" w:rsidP="004C01EB">
      <w:pPr>
        <w:pStyle w:val="ListParagraph"/>
        <w:numPr>
          <w:ilvl w:val="2"/>
          <w:numId w:val="4"/>
        </w:numPr>
        <w:spacing w:after="180"/>
        <w:contextualSpacing w:val="0"/>
      </w:pPr>
      <w:r w:rsidRPr="004C01EB">
        <w:t xml:space="preserve">two instances where the doctor who approved and performed euthanasia only met with the person </w:t>
      </w:r>
      <w:r w:rsidRPr="004C01EB">
        <w:rPr>
          <w:b/>
        </w:rPr>
        <w:t>on the day</w:t>
      </w:r>
      <w:r w:rsidRPr="004C01EB">
        <w:t xml:space="preserve"> euthanasia was provided.</w:t>
      </w:r>
    </w:p>
    <w:p w14:paraId="73555503" w14:textId="77777777" w:rsidR="004C01EB" w:rsidRPr="004C01EB" w:rsidRDefault="004C01EB" w:rsidP="004C01EB">
      <w:pPr>
        <w:pStyle w:val="ListParagraph"/>
        <w:numPr>
          <w:ilvl w:val="0"/>
          <w:numId w:val="4"/>
        </w:numPr>
        <w:spacing w:after="180"/>
        <w:contextualSpacing w:val="0"/>
      </w:pPr>
      <w:r w:rsidRPr="004C01EB">
        <w:lastRenderedPageBreak/>
        <w:t xml:space="preserve">Similar figures are shown in the cumulative statistics of Québec’s program for the period from December 10, 2015 to March 31, 2017.  While the Commission states that 1,493 euthanasia reporting forms were received from doctors during the period, Institutions and the CMQ report 1,664 euthanasia deaths.  Thus, </w:t>
      </w:r>
      <w:r w:rsidRPr="004C01EB">
        <w:rPr>
          <w:b/>
        </w:rPr>
        <w:t>171 deaths</w:t>
      </w:r>
      <w:r w:rsidRPr="004C01EB">
        <w:t xml:space="preserve"> are unaccounted for, probably unexamined and may or may not comply with eligibility requirements and safeguards.</w:t>
      </w:r>
    </w:p>
    <w:p w14:paraId="2BAB527F" w14:textId="77777777" w:rsidR="004C01EB" w:rsidRPr="004C01EB" w:rsidRDefault="004C01EB" w:rsidP="004C01EB">
      <w:pPr>
        <w:pStyle w:val="ListParagraph"/>
        <w:numPr>
          <w:ilvl w:val="0"/>
          <w:numId w:val="4"/>
        </w:numPr>
        <w:spacing w:after="180"/>
        <w:contextualSpacing w:val="0"/>
      </w:pPr>
      <w:r w:rsidRPr="004C01EB">
        <w:t>In the past three years, the number of euthanasia has increased steadily in every six month period.</w:t>
      </w:r>
    </w:p>
    <w:p w14:paraId="66889618" w14:textId="77777777" w:rsidR="004C01EB" w:rsidRPr="004C01EB" w:rsidRDefault="004C01EB" w:rsidP="004C01EB">
      <w:pPr>
        <w:pStyle w:val="ListParagraph"/>
        <w:numPr>
          <w:ilvl w:val="1"/>
          <w:numId w:val="4"/>
        </w:numPr>
        <w:spacing w:after="180"/>
        <w:ind w:left="786"/>
        <w:contextualSpacing w:val="0"/>
      </w:pPr>
      <w:r w:rsidRPr="004C01EB">
        <w:t>161 – 1st period (12/15-6/16)</w:t>
      </w:r>
    </w:p>
    <w:p w14:paraId="20F30D42" w14:textId="77777777" w:rsidR="004C01EB" w:rsidRPr="004C01EB" w:rsidRDefault="004C01EB" w:rsidP="004C01EB">
      <w:pPr>
        <w:pStyle w:val="ListParagraph"/>
        <w:numPr>
          <w:ilvl w:val="1"/>
          <w:numId w:val="4"/>
        </w:numPr>
        <w:spacing w:after="180"/>
        <w:ind w:left="786"/>
        <w:contextualSpacing w:val="0"/>
      </w:pPr>
      <w:r w:rsidRPr="004C01EB">
        <w:t>280 – 2de period (7/16-12/16)</w:t>
      </w:r>
    </w:p>
    <w:p w14:paraId="27505E17" w14:textId="77777777" w:rsidR="004C01EB" w:rsidRPr="004C01EB" w:rsidRDefault="004C01EB" w:rsidP="004C01EB">
      <w:pPr>
        <w:pStyle w:val="ListParagraph"/>
        <w:numPr>
          <w:ilvl w:val="1"/>
          <w:numId w:val="4"/>
        </w:numPr>
        <w:spacing w:after="180"/>
        <w:ind w:left="786"/>
        <w:contextualSpacing w:val="0"/>
      </w:pPr>
      <w:r w:rsidRPr="004C01EB">
        <w:t>344 – 3rd period (1/17-6/17)</w:t>
      </w:r>
    </w:p>
    <w:p w14:paraId="51366C46" w14:textId="77777777" w:rsidR="004C01EB" w:rsidRPr="004C01EB" w:rsidRDefault="004C01EB" w:rsidP="004C01EB">
      <w:pPr>
        <w:pStyle w:val="ListParagraph"/>
        <w:numPr>
          <w:ilvl w:val="1"/>
          <w:numId w:val="4"/>
        </w:numPr>
        <w:spacing w:after="180"/>
        <w:ind w:left="786"/>
        <w:contextualSpacing w:val="0"/>
      </w:pPr>
      <w:r w:rsidRPr="004C01EB">
        <w:t>437 – 4th period (7/17-12/17)</w:t>
      </w:r>
    </w:p>
    <w:p w14:paraId="2FE4A40E" w14:textId="77777777" w:rsidR="004C01EB" w:rsidRPr="004C01EB" w:rsidRDefault="004C01EB" w:rsidP="004C01EB">
      <w:pPr>
        <w:pStyle w:val="ListParagraph"/>
        <w:numPr>
          <w:ilvl w:val="1"/>
          <w:numId w:val="4"/>
        </w:numPr>
        <w:spacing w:after="180"/>
        <w:ind w:left="786"/>
        <w:contextualSpacing w:val="0"/>
      </w:pPr>
      <w:r w:rsidRPr="004C01EB">
        <w:t>542 – 5th period (1/18-6/18) (estimate based on 271 from 1/18-3/18)</w:t>
      </w:r>
    </w:p>
    <w:p w14:paraId="717672C4" w14:textId="77777777" w:rsidR="004C01EB" w:rsidRPr="004C01EB" w:rsidRDefault="004C01EB" w:rsidP="004C01EB">
      <w:pPr>
        <w:pStyle w:val="ListParagraph"/>
        <w:numPr>
          <w:ilvl w:val="0"/>
          <w:numId w:val="5"/>
        </w:numPr>
        <w:spacing w:after="180"/>
        <w:contextualSpacing w:val="0"/>
      </w:pPr>
      <w:r w:rsidRPr="004C01EB">
        <w:t>Of the 1,374 total cases decided up until March 31 of this year,</w:t>
      </w:r>
    </w:p>
    <w:p w14:paraId="681DC68E" w14:textId="77777777" w:rsidR="004C01EB" w:rsidRPr="004C01EB" w:rsidRDefault="004C01EB" w:rsidP="004C01EB">
      <w:pPr>
        <w:pStyle w:val="ListParagraph"/>
        <w:numPr>
          <w:ilvl w:val="1"/>
          <w:numId w:val="5"/>
        </w:numPr>
        <w:spacing w:after="180"/>
        <w:ind w:left="786"/>
        <w:contextualSpacing w:val="0"/>
      </w:pPr>
      <w:r w:rsidRPr="004C01EB">
        <w:t>90% (1,245 cases) complied with the eligibility requirements and safeguards;</w:t>
      </w:r>
    </w:p>
    <w:p w14:paraId="59573171" w14:textId="77777777" w:rsidR="004C01EB" w:rsidRPr="004C01EB" w:rsidRDefault="004C01EB" w:rsidP="004C01EB">
      <w:pPr>
        <w:pStyle w:val="ListParagraph"/>
        <w:numPr>
          <w:ilvl w:val="1"/>
          <w:numId w:val="5"/>
        </w:numPr>
        <w:spacing w:after="180"/>
        <w:ind w:left="786"/>
        <w:contextualSpacing w:val="0"/>
      </w:pPr>
      <w:r w:rsidRPr="004C01EB">
        <w:t xml:space="preserve">In 4.8% (67 cases) </w:t>
      </w:r>
      <w:r w:rsidRPr="004C01EB">
        <w:rPr>
          <w:b/>
        </w:rPr>
        <w:t>no determination of compliance was possible</w:t>
      </w:r>
      <w:r w:rsidRPr="004C01EB">
        <w:t>:</w:t>
      </w:r>
    </w:p>
    <w:p w14:paraId="01109F8F" w14:textId="77777777" w:rsidR="004C01EB" w:rsidRPr="004C01EB" w:rsidRDefault="004C01EB" w:rsidP="004C01EB">
      <w:pPr>
        <w:pStyle w:val="ListParagraph"/>
        <w:numPr>
          <w:ilvl w:val="1"/>
          <w:numId w:val="5"/>
        </w:numPr>
        <w:spacing w:after="180"/>
        <w:ind w:left="786"/>
        <w:contextualSpacing w:val="0"/>
      </w:pPr>
      <w:r w:rsidRPr="004C01EB">
        <w:t xml:space="preserve">4.5% (62 cases) </w:t>
      </w:r>
      <w:r w:rsidRPr="004C01EB">
        <w:rPr>
          <w:b/>
        </w:rPr>
        <w:t>did not comply:</w:t>
      </w:r>
    </w:p>
    <w:p w14:paraId="75C5ECD0" w14:textId="77777777" w:rsidR="004C01EB" w:rsidRPr="004C01EB" w:rsidRDefault="004C01EB" w:rsidP="004C01EB">
      <w:pPr>
        <w:pStyle w:val="ListParagraph"/>
        <w:numPr>
          <w:ilvl w:val="2"/>
          <w:numId w:val="5"/>
        </w:numPr>
        <w:spacing w:after="180"/>
        <w:contextualSpacing w:val="0"/>
      </w:pPr>
      <w:r w:rsidRPr="004C01EB">
        <w:t>9 cases – Doctor didn’t speak to the person on different occasions to ensure persistence of suffering and wish to die, and capacity;*</w:t>
      </w:r>
    </w:p>
    <w:p w14:paraId="451AECC9" w14:textId="77777777" w:rsidR="004C01EB" w:rsidRPr="004C01EB" w:rsidRDefault="004C01EB" w:rsidP="004C01EB">
      <w:pPr>
        <w:pStyle w:val="ListParagraph"/>
        <w:numPr>
          <w:ilvl w:val="2"/>
          <w:numId w:val="5"/>
        </w:numPr>
        <w:spacing w:after="180"/>
        <w:contextualSpacing w:val="0"/>
      </w:pPr>
      <w:r w:rsidRPr="004C01EB">
        <w:t xml:space="preserve">7 cases – Person was </w:t>
      </w:r>
      <w:r w:rsidRPr="004C01EB">
        <w:rPr>
          <w:b/>
        </w:rPr>
        <w:t>not eligible:</w:t>
      </w:r>
      <w:r w:rsidRPr="004C01EB">
        <w:t xml:space="preserve"> </w:t>
      </w:r>
    </w:p>
    <w:p w14:paraId="34FABEC0" w14:textId="77777777" w:rsidR="004C01EB" w:rsidRPr="004C01EB" w:rsidRDefault="004C01EB" w:rsidP="004C01EB">
      <w:pPr>
        <w:pStyle w:val="ListParagraph"/>
        <w:numPr>
          <w:ilvl w:val="3"/>
          <w:numId w:val="5"/>
        </w:numPr>
        <w:spacing w:after="180"/>
        <w:contextualSpacing w:val="0"/>
      </w:pPr>
      <w:r w:rsidRPr="004C01EB">
        <w:t>5 cases – Person did not have a “serious and incurable illness”;</w:t>
      </w:r>
    </w:p>
    <w:p w14:paraId="12749C87" w14:textId="77777777" w:rsidR="004C01EB" w:rsidRPr="004C01EB" w:rsidRDefault="004C01EB" w:rsidP="004C01EB">
      <w:pPr>
        <w:pStyle w:val="ListParagraph"/>
        <w:numPr>
          <w:ilvl w:val="3"/>
          <w:numId w:val="5"/>
        </w:numPr>
        <w:spacing w:after="180"/>
        <w:contextualSpacing w:val="0"/>
      </w:pPr>
      <w:r w:rsidRPr="004C01EB">
        <w:lastRenderedPageBreak/>
        <w:t>2 cases – The person was not at the end of life;</w:t>
      </w:r>
    </w:p>
    <w:p w14:paraId="1EA5932E" w14:textId="77777777" w:rsidR="004C01EB" w:rsidRPr="004C01EB" w:rsidRDefault="004C01EB" w:rsidP="004C01EB">
      <w:pPr>
        <w:pStyle w:val="ListParagraph"/>
        <w:numPr>
          <w:ilvl w:val="2"/>
          <w:numId w:val="5"/>
        </w:numPr>
        <w:spacing w:after="180"/>
        <w:contextualSpacing w:val="0"/>
      </w:pPr>
      <w:r w:rsidRPr="004C01EB">
        <w:t>6 cases – Second doctor signed off before euthanasia request was signed;*</w:t>
      </w:r>
    </w:p>
    <w:p w14:paraId="510BFEA9" w14:textId="77777777" w:rsidR="004C01EB" w:rsidRPr="004C01EB" w:rsidRDefault="004C01EB" w:rsidP="004C01EB">
      <w:pPr>
        <w:pStyle w:val="ListParagraph"/>
        <w:numPr>
          <w:ilvl w:val="2"/>
          <w:numId w:val="5"/>
        </w:numPr>
        <w:spacing w:after="180"/>
        <w:contextualSpacing w:val="0"/>
      </w:pPr>
      <w:r w:rsidRPr="004C01EB">
        <w:t>5 cases – The person who countersigned the request was not a health care professional;*</w:t>
      </w:r>
    </w:p>
    <w:p w14:paraId="54358704" w14:textId="77777777" w:rsidR="004C01EB" w:rsidRPr="004C01EB" w:rsidRDefault="004C01EB" w:rsidP="004C01EB">
      <w:pPr>
        <w:pStyle w:val="ListParagraph"/>
        <w:numPr>
          <w:ilvl w:val="2"/>
          <w:numId w:val="5"/>
        </w:numPr>
        <w:spacing w:after="180"/>
        <w:contextualSpacing w:val="0"/>
      </w:pPr>
      <w:r w:rsidRPr="004C01EB">
        <w:t>4 cases – The person did not have health insurance;</w:t>
      </w:r>
    </w:p>
    <w:p w14:paraId="24897454" w14:textId="77777777" w:rsidR="004C01EB" w:rsidRPr="004C01EB" w:rsidRDefault="004C01EB" w:rsidP="004C01EB">
      <w:pPr>
        <w:pStyle w:val="ListParagraph"/>
        <w:numPr>
          <w:ilvl w:val="2"/>
          <w:numId w:val="5"/>
        </w:numPr>
        <w:spacing w:after="180"/>
        <w:contextualSpacing w:val="0"/>
      </w:pPr>
      <w:r w:rsidRPr="004C01EB">
        <w:t>2 cases – Doctor did not ensure compliance with safeguards.*</w:t>
      </w:r>
    </w:p>
    <w:p w14:paraId="4840861E" w14:textId="77777777" w:rsidR="004C01EB" w:rsidRPr="004C01EB" w:rsidRDefault="004C01EB" w:rsidP="004C01EB">
      <w:pPr>
        <w:pStyle w:val="ListParagraph"/>
        <w:numPr>
          <w:ilvl w:val="2"/>
          <w:numId w:val="5"/>
        </w:numPr>
        <w:spacing w:after="180"/>
        <w:contextualSpacing w:val="0"/>
      </w:pPr>
      <w:r w:rsidRPr="004C01EB">
        <w:t>In the 29 remaining cases, the second doctor was not independent of the first.  However this legal requirement was removed by the minister of health in February of 2017.</w:t>
      </w:r>
    </w:p>
    <w:p w14:paraId="6E66114D" w14:textId="77777777" w:rsidR="004C01EB" w:rsidRPr="004C01EB" w:rsidRDefault="004C01EB" w:rsidP="004C01EB">
      <w:pPr>
        <w:spacing w:after="180"/>
      </w:pPr>
      <w:r w:rsidRPr="004C01EB">
        <w:t>*In these cases, the failure of administrative safeguards could put the person’s life at risk.</w:t>
      </w:r>
    </w:p>
    <w:p w14:paraId="5CB2A018" w14:textId="77777777" w:rsidR="004C01EB" w:rsidRPr="004C01EB" w:rsidRDefault="004C01EB" w:rsidP="004C01EB">
      <w:pPr>
        <w:pStyle w:val="ListParagraph"/>
        <w:numPr>
          <w:ilvl w:val="0"/>
          <w:numId w:val="5"/>
        </w:numPr>
        <w:spacing w:after="180"/>
        <w:contextualSpacing w:val="0"/>
      </w:pPr>
      <w:r w:rsidRPr="004C01EB">
        <w:t>So to recap, we have:</w:t>
      </w:r>
    </w:p>
    <w:p w14:paraId="4BB4B2ED" w14:textId="77777777" w:rsidR="004C01EB" w:rsidRPr="004C01EB" w:rsidRDefault="004C01EB" w:rsidP="004C01EB">
      <w:pPr>
        <w:pStyle w:val="ListParagraph"/>
        <w:numPr>
          <w:ilvl w:val="1"/>
          <w:numId w:val="5"/>
        </w:numPr>
        <w:spacing w:after="180"/>
        <w:ind w:left="786"/>
        <w:contextualSpacing w:val="0"/>
      </w:pPr>
      <w:r w:rsidRPr="004C01EB">
        <w:t>A “medical treatment” that was supposed to be an exceptional option in exceptional cases, that is now in regular use, regardless of whether palliative care is in place;</w:t>
      </w:r>
    </w:p>
    <w:p w14:paraId="6E4111C0" w14:textId="77777777" w:rsidR="004C01EB" w:rsidRPr="004C01EB" w:rsidRDefault="004C01EB" w:rsidP="004C01EB">
      <w:pPr>
        <w:pStyle w:val="ListParagraph"/>
        <w:numPr>
          <w:ilvl w:val="1"/>
          <w:numId w:val="5"/>
        </w:numPr>
        <w:spacing w:after="180"/>
        <w:ind w:left="786"/>
        <w:contextualSpacing w:val="0"/>
      </w:pPr>
      <w:r w:rsidRPr="004C01EB">
        <w:t>Substantial increases in the number of people being euthanized every six months, for a total of 1,664 (as of last March); not counting 1,831 continuous palliative sedations performed since 2015;</w:t>
      </w:r>
    </w:p>
    <w:p w14:paraId="5152E2EB" w14:textId="77777777" w:rsidR="004C01EB" w:rsidRPr="004C01EB" w:rsidRDefault="004C01EB" w:rsidP="004C01EB">
      <w:pPr>
        <w:pStyle w:val="ListParagraph"/>
        <w:numPr>
          <w:ilvl w:val="1"/>
          <w:numId w:val="5"/>
        </w:numPr>
        <w:spacing w:after="180"/>
        <w:ind w:left="786"/>
        <w:contextualSpacing w:val="0"/>
      </w:pPr>
      <w:r w:rsidRPr="004C01EB">
        <w:t>171 deaths unaccounted for;</w:t>
      </w:r>
    </w:p>
    <w:p w14:paraId="73D8280F" w14:textId="77777777" w:rsidR="004C01EB" w:rsidRPr="004C01EB" w:rsidRDefault="004C01EB" w:rsidP="004C01EB">
      <w:pPr>
        <w:pStyle w:val="ListParagraph"/>
        <w:numPr>
          <w:ilvl w:val="1"/>
          <w:numId w:val="5"/>
        </w:numPr>
        <w:spacing w:after="180"/>
        <w:ind w:left="786"/>
        <w:contextualSpacing w:val="0"/>
      </w:pPr>
      <w:r w:rsidRPr="004C01EB">
        <w:t>67 deaths where compliance could not be determined;</w:t>
      </w:r>
    </w:p>
    <w:p w14:paraId="4685CDB8" w14:textId="77777777" w:rsidR="004C01EB" w:rsidRPr="004C01EB" w:rsidRDefault="004C01EB" w:rsidP="004C01EB">
      <w:pPr>
        <w:pStyle w:val="ListParagraph"/>
        <w:numPr>
          <w:ilvl w:val="1"/>
          <w:numId w:val="5"/>
        </w:numPr>
        <w:spacing w:after="180"/>
        <w:ind w:left="786"/>
        <w:contextualSpacing w:val="0"/>
      </w:pPr>
      <w:r w:rsidRPr="004C01EB">
        <w:t xml:space="preserve">22 deaths where important procedural safeguards were not followed; </w:t>
      </w:r>
    </w:p>
    <w:p w14:paraId="1631F8DE" w14:textId="77777777" w:rsidR="004C01EB" w:rsidRPr="004C01EB" w:rsidRDefault="004C01EB" w:rsidP="004C01EB">
      <w:pPr>
        <w:pStyle w:val="ListParagraph"/>
        <w:numPr>
          <w:ilvl w:val="1"/>
          <w:numId w:val="5"/>
        </w:numPr>
        <w:spacing w:after="180"/>
        <w:ind w:left="786"/>
        <w:contextualSpacing w:val="0"/>
      </w:pPr>
      <w:r w:rsidRPr="004C01EB">
        <w:t>7 deaths of people we know were not eligible for euthanasia; and</w:t>
      </w:r>
    </w:p>
    <w:p w14:paraId="16251B24" w14:textId="77777777" w:rsidR="004C01EB" w:rsidRPr="004C01EB" w:rsidRDefault="004C01EB" w:rsidP="004C01EB">
      <w:pPr>
        <w:pStyle w:val="ListParagraph"/>
        <w:numPr>
          <w:ilvl w:val="1"/>
          <w:numId w:val="5"/>
        </w:numPr>
        <w:spacing w:after="180"/>
        <w:ind w:left="786"/>
        <w:contextualSpacing w:val="0"/>
      </w:pPr>
      <w:r w:rsidRPr="004C01EB">
        <w:lastRenderedPageBreak/>
        <w:t>Hundreds of instances where doctors don’t file reports, refuse or were unable to provide information necessary to determine whether they complied with safeguards or the person was eligible for euthanasia.</w:t>
      </w:r>
    </w:p>
    <w:p w14:paraId="288EFA4A" w14:textId="77777777" w:rsidR="004C01EB" w:rsidRPr="004C01EB" w:rsidRDefault="004C01EB" w:rsidP="004C01EB">
      <w:pPr>
        <w:pStyle w:val="ListParagraph"/>
        <w:numPr>
          <w:ilvl w:val="0"/>
          <w:numId w:val="5"/>
        </w:numPr>
        <w:spacing w:after="180"/>
        <w:contextualSpacing w:val="0"/>
      </w:pPr>
      <w:r w:rsidRPr="004C01EB">
        <w:t>Isn’t that enough evidence to show that something's amiss?</w:t>
      </w:r>
    </w:p>
    <w:p w14:paraId="39CCDDC6" w14:textId="386C5284" w:rsidR="00F95331" w:rsidRPr="004C01EB" w:rsidRDefault="00F95331" w:rsidP="004C01EB">
      <w:pPr>
        <w:pStyle w:val="ListParagraph"/>
        <w:numPr>
          <w:ilvl w:val="0"/>
          <w:numId w:val="4"/>
        </w:numPr>
        <w:spacing w:after="180"/>
        <w:contextualSpacing w:val="0"/>
        <w:rPr>
          <w:color w:val="auto"/>
          <w:lang w:val="en-CA"/>
        </w:rPr>
      </w:pPr>
    </w:p>
    <w:sectPr w:rsidR="00F95331" w:rsidRPr="004C01EB" w:rsidSect="00367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113"/>
    <w:multiLevelType w:val="multilevel"/>
    <w:tmpl w:val="8F505848"/>
    <w:numStyleLink w:val="AmyFavList"/>
  </w:abstractNum>
  <w:abstractNum w:abstractNumId="1" w15:restartNumberingAfterBreak="0">
    <w:nsid w:val="06DF5A02"/>
    <w:multiLevelType w:val="multilevel"/>
    <w:tmpl w:val="8F505848"/>
    <w:numStyleLink w:val="AmyFavList"/>
  </w:abstractNum>
  <w:abstractNum w:abstractNumId="2" w15:restartNumberingAfterBreak="0">
    <w:nsid w:val="54F3319F"/>
    <w:multiLevelType w:val="hybridMultilevel"/>
    <w:tmpl w:val="B834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65711"/>
    <w:multiLevelType w:val="hybridMultilevel"/>
    <w:tmpl w:val="8682C0C0"/>
    <w:lvl w:ilvl="0" w:tplc="874CD1DE">
      <w:start w:val="708"/>
      <w:numFmt w:val="bullet"/>
      <w:lvlText w:val=""/>
      <w:lvlJc w:val="left"/>
      <w:pPr>
        <w:ind w:left="720" w:hanging="360"/>
      </w:pPr>
      <w:rPr>
        <w:rFonts w:ascii="Symbol" w:eastAsiaTheme="minorHAnsi" w:hAnsi="Symbol"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E491D8">
      <w:numFmt w:val="bullet"/>
      <w:lvlText w:val="•"/>
      <w:lvlJc w:val="left"/>
      <w:pPr>
        <w:ind w:left="2880" w:hanging="360"/>
      </w:pPr>
      <w:rPr>
        <w:rFonts w:ascii="Cambria" w:eastAsiaTheme="minorHAnsi" w:hAnsi="Cambria" w:cs="Times New Roman (Body C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D5B48"/>
    <w:multiLevelType w:val="multilevel"/>
    <w:tmpl w:val="8F505848"/>
    <w:styleLink w:val="AmyFavLis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E112F55"/>
    <w:multiLevelType w:val="multilevel"/>
    <w:tmpl w:val="8F505848"/>
    <w:numStyleLink w:val="AmyFavList"/>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09"/>
    <w:rsid w:val="00003827"/>
    <w:rsid w:val="00020EE7"/>
    <w:rsid w:val="00034262"/>
    <w:rsid w:val="0007709A"/>
    <w:rsid w:val="000C6644"/>
    <w:rsid w:val="00126305"/>
    <w:rsid w:val="001435E5"/>
    <w:rsid w:val="00147575"/>
    <w:rsid w:val="00193B06"/>
    <w:rsid w:val="001C2D01"/>
    <w:rsid w:val="001F5F3B"/>
    <w:rsid w:val="0020519D"/>
    <w:rsid w:val="00236607"/>
    <w:rsid w:val="002623A2"/>
    <w:rsid w:val="0028404C"/>
    <w:rsid w:val="00287921"/>
    <w:rsid w:val="002948B6"/>
    <w:rsid w:val="002B133C"/>
    <w:rsid w:val="002D39A5"/>
    <w:rsid w:val="003354BA"/>
    <w:rsid w:val="00367185"/>
    <w:rsid w:val="003D066D"/>
    <w:rsid w:val="00407B09"/>
    <w:rsid w:val="004A4270"/>
    <w:rsid w:val="004B2FE0"/>
    <w:rsid w:val="004C01EB"/>
    <w:rsid w:val="00505AF9"/>
    <w:rsid w:val="005142DA"/>
    <w:rsid w:val="00562C6A"/>
    <w:rsid w:val="00593724"/>
    <w:rsid w:val="005B2507"/>
    <w:rsid w:val="005B6F41"/>
    <w:rsid w:val="00637BA2"/>
    <w:rsid w:val="00657B79"/>
    <w:rsid w:val="007B226A"/>
    <w:rsid w:val="007B373F"/>
    <w:rsid w:val="00810287"/>
    <w:rsid w:val="0089082E"/>
    <w:rsid w:val="00892788"/>
    <w:rsid w:val="008E34FB"/>
    <w:rsid w:val="00921532"/>
    <w:rsid w:val="00951238"/>
    <w:rsid w:val="009656F9"/>
    <w:rsid w:val="00971D67"/>
    <w:rsid w:val="009A25A2"/>
    <w:rsid w:val="00A22FB2"/>
    <w:rsid w:val="00A3052D"/>
    <w:rsid w:val="00A33B0D"/>
    <w:rsid w:val="00B06F9E"/>
    <w:rsid w:val="00B25AE3"/>
    <w:rsid w:val="00B43C95"/>
    <w:rsid w:val="00B534DE"/>
    <w:rsid w:val="00B7283E"/>
    <w:rsid w:val="00C47C9A"/>
    <w:rsid w:val="00CC3AC7"/>
    <w:rsid w:val="00D560B6"/>
    <w:rsid w:val="00D911FC"/>
    <w:rsid w:val="00DC4752"/>
    <w:rsid w:val="00E354E3"/>
    <w:rsid w:val="00EB1B93"/>
    <w:rsid w:val="00F10113"/>
    <w:rsid w:val="00F7710D"/>
    <w:rsid w:val="00F8152D"/>
    <w:rsid w:val="00F86A1E"/>
    <w:rsid w:val="00F95331"/>
    <w:rsid w:val="00FB05A7"/>
    <w:rsid w:val="00FE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F5714"/>
  <w14:defaultImageDpi w14:val="32767"/>
  <w15:chartTrackingRefBased/>
  <w15:docId w15:val="{0FCAB64D-A4B0-4B44-BF94-0E306CE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bCs/>
        <w:color w:val="010101"/>
        <w:sz w:val="3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yFavList">
    <w:name w:val="AmyFavList"/>
    <w:uiPriority w:val="99"/>
    <w:rsid w:val="00657B79"/>
    <w:pPr>
      <w:numPr>
        <w:numId w:val="1"/>
      </w:numPr>
    </w:pPr>
  </w:style>
  <w:style w:type="paragraph" w:styleId="ListParagraph">
    <w:name w:val="List Paragraph"/>
    <w:basedOn w:val="Normal"/>
    <w:uiPriority w:val="34"/>
    <w:qFormat/>
    <w:rsid w:val="00407B09"/>
    <w:pPr>
      <w:ind w:left="720"/>
      <w:contextualSpacing/>
    </w:pPr>
  </w:style>
  <w:style w:type="paragraph" w:styleId="NormalWeb">
    <w:name w:val="Normal (Web)"/>
    <w:basedOn w:val="Normal"/>
    <w:uiPriority w:val="99"/>
    <w:semiHidden/>
    <w:unhideWhenUsed/>
    <w:rsid w:val="00593724"/>
    <w:rPr>
      <w:rFonts w:ascii="Times New Roman" w:hAnsi="Times New Roman" w:cs="Times New Roman"/>
      <w:sz w:val="24"/>
      <w:szCs w:val="24"/>
    </w:rPr>
  </w:style>
  <w:style w:type="character" w:styleId="Hyperlink">
    <w:name w:val="Hyperlink"/>
    <w:basedOn w:val="DefaultParagraphFont"/>
    <w:uiPriority w:val="99"/>
    <w:unhideWhenUsed/>
    <w:rsid w:val="004C0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539">
      <w:bodyDiv w:val="1"/>
      <w:marLeft w:val="0"/>
      <w:marRight w:val="0"/>
      <w:marTop w:val="0"/>
      <w:marBottom w:val="0"/>
      <w:divBdr>
        <w:top w:val="none" w:sz="0" w:space="0" w:color="auto"/>
        <w:left w:val="none" w:sz="0" w:space="0" w:color="auto"/>
        <w:bottom w:val="none" w:sz="0" w:space="0" w:color="auto"/>
        <w:right w:val="none" w:sz="0" w:space="0" w:color="auto"/>
      </w:divBdr>
      <w:divsChild>
        <w:div w:id="1134787389">
          <w:marLeft w:val="0"/>
          <w:marRight w:val="0"/>
          <w:marTop w:val="0"/>
          <w:marBottom w:val="0"/>
          <w:divBdr>
            <w:top w:val="none" w:sz="0" w:space="0" w:color="auto"/>
            <w:left w:val="none" w:sz="0" w:space="0" w:color="auto"/>
            <w:bottom w:val="none" w:sz="0" w:space="0" w:color="auto"/>
            <w:right w:val="none" w:sz="0" w:space="0" w:color="auto"/>
          </w:divBdr>
          <w:divsChild>
            <w:div w:id="1331107266">
              <w:marLeft w:val="0"/>
              <w:marRight w:val="0"/>
              <w:marTop w:val="0"/>
              <w:marBottom w:val="0"/>
              <w:divBdr>
                <w:top w:val="none" w:sz="0" w:space="0" w:color="auto"/>
                <w:left w:val="none" w:sz="0" w:space="0" w:color="auto"/>
                <w:bottom w:val="none" w:sz="0" w:space="0" w:color="auto"/>
                <w:right w:val="none" w:sz="0" w:space="0" w:color="auto"/>
              </w:divBdr>
              <w:divsChild>
                <w:div w:id="11708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7455">
      <w:bodyDiv w:val="1"/>
      <w:marLeft w:val="0"/>
      <w:marRight w:val="0"/>
      <w:marTop w:val="0"/>
      <w:marBottom w:val="0"/>
      <w:divBdr>
        <w:top w:val="none" w:sz="0" w:space="0" w:color="auto"/>
        <w:left w:val="none" w:sz="0" w:space="0" w:color="auto"/>
        <w:bottom w:val="none" w:sz="0" w:space="0" w:color="auto"/>
        <w:right w:val="none" w:sz="0" w:space="0" w:color="auto"/>
      </w:divBdr>
      <w:divsChild>
        <w:div w:id="1318995629">
          <w:marLeft w:val="0"/>
          <w:marRight w:val="0"/>
          <w:marTop w:val="0"/>
          <w:marBottom w:val="0"/>
          <w:divBdr>
            <w:top w:val="none" w:sz="0" w:space="0" w:color="auto"/>
            <w:left w:val="none" w:sz="0" w:space="0" w:color="auto"/>
            <w:bottom w:val="none" w:sz="0" w:space="0" w:color="auto"/>
            <w:right w:val="none" w:sz="0" w:space="0" w:color="auto"/>
          </w:divBdr>
          <w:divsChild>
            <w:div w:id="1343778422">
              <w:marLeft w:val="0"/>
              <w:marRight w:val="0"/>
              <w:marTop w:val="0"/>
              <w:marBottom w:val="0"/>
              <w:divBdr>
                <w:top w:val="none" w:sz="0" w:space="0" w:color="auto"/>
                <w:left w:val="none" w:sz="0" w:space="0" w:color="auto"/>
                <w:bottom w:val="none" w:sz="0" w:space="0" w:color="auto"/>
                <w:right w:val="none" w:sz="0" w:space="0" w:color="auto"/>
              </w:divBdr>
              <w:divsChild>
                <w:div w:id="12099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13978">
      <w:bodyDiv w:val="1"/>
      <w:marLeft w:val="0"/>
      <w:marRight w:val="0"/>
      <w:marTop w:val="0"/>
      <w:marBottom w:val="0"/>
      <w:divBdr>
        <w:top w:val="none" w:sz="0" w:space="0" w:color="auto"/>
        <w:left w:val="none" w:sz="0" w:space="0" w:color="auto"/>
        <w:bottom w:val="none" w:sz="0" w:space="0" w:color="auto"/>
        <w:right w:val="none" w:sz="0" w:space="0" w:color="auto"/>
      </w:divBdr>
      <w:divsChild>
        <w:div w:id="533808042">
          <w:marLeft w:val="0"/>
          <w:marRight w:val="0"/>
          <w:marTop w:val="0"/>
          <w:marBottom w:val="0"/>
          <w:divBdr>
            <w:top w:val="none" w:sz="0" w:space="0" w:color="auto"/>
            <w:left w:val="none" w:sz="0" w:space="0" w:color="auto"/>
            <w:bottom w:val="none" w:sz="0" w:space="0" w:color="auto"/>
            <w:right w:val="none" w:sz="0" w:space="0" w:color="auto"/>
          </w:divBdr>
          <w:divsChild>
            <w:div w:id="1187477763">
              <w:marLeft w:val="0"/>
              <w:marRight w:val="0"/>
              <w:marTop w:val="0"/>
              <w:marBottom w:val="0"/>
              <w:divBdr>
                <w:top w:val="none" w:sz="0" w:space="0" w:color="auto"/>
                <w:left w:val="none" w:sz="0" w:space="0" w:color="auto"/>
                <w:bottom w:val="none" w:sz="0" w:space="0" w:color="auto"/>
                <w:right w:val="none" w:sz="0" w:space="0" w:color="auto"/>
              </w:divBdr>
              <w:divsChild>
                <w:div w:id="1228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3798">
      <w:bodyDiv w:val="1"/>
      <w:marLeft w:val="0"/>
      <w:marRight w:val="0"/>
      <w:marTop w:val="0"/>
      <w:marBottom w:val="0"/>
      <w:divBdr>
        <w:top w:val="none" w:sz="0" w:space="0" w:color="auto"/>
        <w:left w:val="none" w:sz="0" w:space="0" w:color="auto"/>
        <w:bottom w:val="none" w:sz="0" w:space="0" w:color="auto"/>
        <w:right w:val="none" w:sz="0" w:space="0" w:color="auto"/>
      </w:divBdr>
      <w:divsChild>
        <w:div w:id="1361979745">
          <w:marLeft w:val="0"/>
          <w:marRight w:val="0"/>
          <w:marTop w:val="0"/>
          <w:marBottom w:val="0"/>
          <w:divBdr>
            <w:top w:val="none" w:sz="0" w:space="0" w:color="auto"/>
            <w:left w:val="none" w:sz="0" w:space="0" w:color="auto"/>
            <w:bottom w:val="none" w:sz="0" w:space="0" w:color="auto"/>
            <w:right w:val="none" w:sz="0" w:space="0" w:color="auto"/>
          </w:divBdr>
          <w:divsChild>
            <w:div w:id="656615512">
              <w:marLeft w:val="0"/>
              <w:marRight w:val="0"/>
              <w:marTop w:val="0"/>
              <w:marBottom w:val="0"/>
              <w:divBdr>
                <w:top w:val="none" w:sz="0" w:space="0" w:color="auto"/>
                <w:left w:val="none" w:sz="0" w:space="0" w:color="auto"/>
                <w:bottom w:val="none" w:sz="0" w:space="0" w:color="auto"/>
                <w:right w:val="none" w:sz="0" w:space="0" w:color="auto"/>
              </w:divBdr>
              <w:divsChild>
                <w:div w:id="5651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ndy.ca/en/category/library/reports-documents/" TargetMode="External"/><Relationship Id="rId5" Type="http://schemas.openxmlformats.org/officeDocument/2006/relationships/hyperlink" Target="https://www.dropbox.com/s/1mvo0pi60lyimfg/3e%20Rapport%20annuel%20de%20la%20CSFV_1er%20juillet%202017%20au%2031%20mars%202018.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10</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Toujours Vivant -- Not Dead Yet</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dc:description/>
  <cp:lastModifiedBy>Amy Hasbrouck</cp:lastModifiedBy>
  <cp:revision>14</cp:revision>
  <dcterms:created xsi:type="dcterms:W3CDTF">2018-12-10T14:02:00Z</dcterms:created>
  <dcterms:modified xsi:type="dcterms:W3CDTF">2018-12-14T18:00:00Z</dcterms:modified>
</cp:coreProperties>
</file>